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96725EA" w:rsidR="008A332F" w:rsidRPr="00D07BD7" w:rsidRDefault="00ED304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D07BD7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D07BD7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B76B7F3" w:rsidR="008C6721" w:rsidRPr="00D07BD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za</w:t>
      </w:r>
      <w:r w:rsidR="00316238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4D76C7">
        <w:rPr>
          <w:rFonts w:ascii="Arial" w:hAnsi="Arial" w:cs="Arial"/>
          <w:b/>
          <w:color w:val="auto"/>
          <w:sz w:val="24"/>
          <w:szCs w:val="24"/>
        </w:rPr>
        <w:t>I</w:t>
      </w:r>
      <w:r w:rsidR="00316238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B02895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07BD7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07BD7" w:rsidRPr="00D07BD7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D07BD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07BD7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3E884D" w:rsidR="00CA516B" w:rsidRPr="00D07BD7" w:rsidRDefault="005E77FE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07BD7">
              <w:rPr>
                <w:rFonts w:ascii="Arial" w:hAnsi="Arial" w:cs="Arial"/>
                <w:i/>
                <w:sz w:val="20"/>
              </w:rPr>
              <w:t xml:space="preserve">System Informacji Przestrzennej Administracji Morskiej (SIPAM)  </w:t>
            </w:r>
          </w:p>
        </w:tc>
      </w:tr>
      <w:tr w:rsidR="00D07BD7" w:rsidRPr="00D07BD7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E74E54A" w:rsidR="00CA516B" w:rsidRPr="00D07BD7" w:rsidRDefault="005E77FE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</w:t>
            </w:r>
            <w:r w:rsidR="00C11293">
              <w:rPr>
                <w:rFonts w:ascii="Arial" w:hAnsi="Arial" w:cs="Arial"/>
                <w:sz w:val="18"/>
                <w:szCs w:val="18"/>
              </w:rPr>
              <w:t>inister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Gospodarki Morskiej i Żeglugi Śródlądowej</w:t>
            </w:r>
          </w:p>
        </w:tc>
      </w:tr>
      <w:tr w:rsidR="00D07BD7" w:rsidRPr="00D07BD7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24E37B4" w:rsidR="00CA516B" w:rsidRPr="00D07BD7" w:rsidRDefault="005E77F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Ministerstwo Gospodarki Morskiej i Żeglugi Śródlądowej</w:t>
            </w:r>
            <w:r w:rsidR="0030196F" w:rsidRPr="00D07BD7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D07BD7" w:rsidRPr="00D07BD7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D07BD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75A1C5F" w:rsidR="00CA516B" w:rsidRPr="00D07BD7" w:rsidRDefault="00EF6E9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Urząd Morski w Gdyni, Urząd Morski w Słupsku, Urząd Morski w Szczecinie</w:t>
            </w:r>
          </w:p>
        </w:tc>
      </w:tr>
      <w:tr w:rsidR="00D07BD7" w:rsidRPr="00D07BD7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1D471" w14:textId="77777777" w:rsidR="000D2A8B" w:rsidRPr="00D07BD7" w:rsidRDefault="00EF6E9A" w:rsidP="000D2A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Program Operacyjny Polska Cyfrowa 2014-2020, Działanie 2.3 „Cyfrowa dostępność i użyteczność informacji sektora publicznego”, Poddziałanie 2.3.1 „Cyfrowe udostępnienie informacji sektora publicznego ze źródeł administracyjnych i zasobów nauki” (typ I projektu: cyfrowe udostępnienie ISP ze źródeł administracyjnych) </w:t>
            </w:r>
          </w:p>
          <w:p w14:paraId="55582688" w14:textId="4DC15A6C" w:rsidR="00EF6E9A" w:rsidRPr="00D07BD7" w:rsidRDefault="00EF6E9A" w:rsidP="000D2A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Budżet państwa – </w:t>
            </w:r>
            <w:r w:rsidR="000D2A8B" w:rsidRPr="00D07BD7">
              <w:rPr>
                <w:rFonts w:ascii="Arial" w:hAnsi="Arial" w:cs="Arial"/>
                <w:sz w:val="18"/>
                <w:szCs w:val="18"/>
              </w:rPr>
              <w:t xml:space="preserve">część budżetowa nr 21 Gospodarka morska </w:t>
            </w:r>
          </w:p>
        </w:tc>
      </w:tr>
      <w:tr w:rsidR="00D07BD7" w:rsidRPr="00D07BD7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D07BD7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D07BD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23C23CB" w:rsidR="00ED304A" w:rsidRPr="00D07BD7" w:rsidRDefault="00ED30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5 971 782,00 PLN</w:t>
            </w:r>
          </w:p>
        </w:tc>
      </w:tr>
      <w:tr w:rsidR="00D07BD7" w:rsidRPr="00D07BD7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D07BD7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D07BD7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D07BD7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8A31BD8" w:rsidR="00CA516B" w:rsidRPr="00D07BD7" w:rsidRDefault="00ED304A" w:rsidP="00ED304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2017-10-31 do 2020-07-30</w:t>
            </w:r>
          </w:p>
        </w:tc>
      </w:tr>
    </w:tbl>
    <w:p w14:paraId="30071234" w14:textId="638D0C5F" w:rsidR="00CA516B" w:rsidRPr="00D07BD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07BD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07BD7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497EA612" w:rsidR="004C1D48" w:rsidRPr="00D07BD7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D07BD7">
        <w:rPr>
          <w:rFonts w:ascii="Arial" w:hAnsi="Arial" w:cs="Arial"/>
          <w:color w:val="auto"/>
        </w:rPr>
        <w:t xml:space="preserve"> </w:t>
      </w:r>
      <w:r w:rsidR="00476ABB" w:rsidRPr="00D07BD7">
        <w:rPr>
          <w:rFonts w:ascii="Arial" w:hAnsi="Arial" w:cs="Arial"/>
          <w:color w:val="auto"/>
          <w:sz w:val="18"/>
          <w:szCs w:val="18"/>
        </w:rPr>
        <w:t>Realizacja projektu nie jest uzależniona od działań legislacyjnych.</w:t>
      </w:r>
    </w:p>
    <w:p w14:paraId="147B986C" w14:textId="7DF867C4" w:rsidR="003C7325" w:rsidRPr="00D07BD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07BD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D07BD7" w:rsidRPr="00D07BD7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D07BD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D07BD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D07BD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07BD7" w:rsidRPr="00D07BD7" w14:paraId="59735F91" w14:textId="77777777" w:rsidTr="00795AFA">
        <w:tc>
          <w:tcPr>
            <w:tcW w:w="2972" w:type="dxa"/>
          </w:tcPr>
          <w:p w14:paraId="077C8D26" w14:textId="3FC1526B" w:rsidR="00907F6D" w:rsidRPr="00D07BD7" w:rsidRDefault="009D7322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60,6</w:t>
            </w:r>
            <w:r w:rsidR="00D335E9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03FA9AB" w14:textId="032B86B4" w:rsidR="00CC7E21" w:rsidRPr="00D07BD7" w:rsidRDefault="000745E0" w:rsidP="00CC7E2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</w:t>
            </w:r>
            <w:r w:rsidR="009C2DE7">
              <w:rPr>
                <w:rFonts w:ascii="Arial" w:hAnsi="Arial" w:cs="Arial"/>
                <w:sz w:val="18"/>
                <w:szCs w:val="20"/>
              </w:rPr>
              <w:t>9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55CEE2C" w14:textId="77777777" w:rsidR="006B5117" w:rsidRPr="00D07BD7" w:rsidRDefault="006B5117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2AD8ACE6" w:rsidR="00907F6D" w:rsidRPr="00D07BD7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3896B8BF" w:rsidR="00907F6D" w:rsidRPr="00D07BD7" w:rsidRDefault="00327F6D" w:rsidP="00327F6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7FCEF9BD" w:rsidR="00E42938" w:rsidRPr="00D07BD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07BD7">
        <w:rPr>
          <w:rFonts w:ascii="Arial" w:hAnsi="Arial" w:cs="Arial"/>
          <w:color w:val="auto"/>
        </w:rPr>
        <w:t xml:space="preserve"> </w:t>
      </w:r>
      <w:r w:rsidR="00B41415" w:rsidRPr="00D07BD7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D07BD7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D07BD7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D07BD7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D07BD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5"/>
        <w:gridCol w:w="1559"/>
        <w:gridCol w:w="1134"/>
        <w:gridCol w:w="992"/>
        <w:gridCol w:w="3969"/>
      </w:tblGrid>
      <w:tr w:rsidR="00D07BD7" w:rsidRPr="00D07BD7" w14:paraId="55961592" w14:textId="77777777" w:rsidTr="008A6291">
        <w:trPr>
          <w:trHeight w:val="769"/>
          <w:tblHeader/>
        </w:trPr>
        <w:tc>
          <w:tcPr>
            <w:tcW w:w="1985" w:type="dxa"/>
            <w:shd w:val="clear" w:color="auto" w:fill="D0CECE" w:themeFill="background2" w:themeFillShade="E6"/>
          </w:tcPr>
          <w:p w14:paraId="7B450A2E" w14:textId="77777777" w:rsidR="004350B8" w:rsidRPr="00D07BD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D07B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10659A37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24D9E0E9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D07BD7" w:rsidRPr="00D07BD7" w14:paraId="16FF20BB" w14:textId="77777777" w:rsidTr="008A6291">
        <w:trPr>
          <w:trHeight w:val="779"/>
        </w:trPr>
        <w:tc>
          <w:tcPr>
            <w:tcW w:w="1985" w:type="dxa"/>
          </w:tcPr>
          <w:p w14:paraId="242D4CC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Przygotowanie dokumentacji przetargowej na wyłonienie Wsparcia Projektu</w:t>
            </w:r>
          </w:p>
        </w:tc>
        <w:tc>
          <w:tcPr>
            <w:tcW w:w="1559" w:type="dxa"/>
          </w:tcPr>
          <w:p w14:paraId="78E7355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F5927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992" w:type="dxa"/>
          </w:tcPr>
          <w:p w14:paraId="60017716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3969" w:type="dxa"/>
          </w:tcPr>
          <w:p w14:paraId="3342713E" w14:textId="2CF6CF10" w:rsidR="008A6291" w:rsidRPr="00D07BD7" w:rsidRDefault="00D9766E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D07BD7" w:rsidRPr="00D07BD7" w14:paraId="7902F82D" w14:textId="77777777" w:rsidTr="008A6291">
        <w:tc>
          <w:tcPr>
            <w:tcW w:w="1985" w:type="dxa"/>
          </w:tcPr>
          <w:p w14:paraId="54976B2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Wsparcia Projektu</w:t>
            </w:r>
          </w:p>
        </w:tc>
        <w:tc>
          <w:tcPr>
            <w:tcW w:w="1559" w:type="dxa"/>
          </w:tcPr>
          <w:p w14:paraId="4FF7242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334D6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992" w:type="dxa"/>
          </w:tcPr>
          <w:p w14:paraId="662D42B4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3969" w:type="dxa"/>
          </w:tcPr>
          <w:p w14:paraId="7164EED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482CC80A" w14:textId="57C660ED" w:rsidR="008A6291" w:rsidRPr="00D07BD7" w:rsidRDefault="008A6291" w:rsidP="00D1474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Na przekroczenie terminu nałożyły się dwie przyczyny: 1. Czas procedowania zamówienia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wynikający z ustawowo określonych terminów oraz stopnia skomplikowania zamówienia</w:t>
            </w:r>
            <w:r w:rsidRPr="00D07BD7">
              <w:rPr>
                <w:rFonts w:ascii="Arial" w:hAnsi="Arial" w:cs="Arial"/>
                <w:sz w:val="18"/>
                <w:szCs w:val="18"/>
              </w:rPr>
              <w:t>.</w:t>
            </w:r>
            <w:r w:rsidR="00E101F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01FD" w:rsidRPr="00D07BD7">
              <w:rPr>
                <w:rFonts w:ascii="Arial" w:hAnsi="Arial" w:cs="Arial"/>
                <w:sz w:val="18"/>
                <w:szCs w:val="18"/>
              </w:rPr>
              <w:t xml:space="preserve">Faktyczny okres </w:t>
            </w:r>
            <w:r w:rsidR="00E101FD">
              <w:rPr>
                <w:rFonts w:ascii="Arial" w:hAnsi="Arial" w:cs="Arial"/>
                <w:sz w:val="18"/>
                <w:szCs w:val="18"/>
              </w:rPr>
              <w:t xml:space="preserve">przygotowania przez komisję przetargową pełnej dokumentacji </w:t>
            </w:r>
            <w:r w:rsidR="00D1474E">
              <w:rPr>
                <w:rFonts w:ascii="Arial" w:hAnsi="Arial" w:cs="Arial"/>
                <w:sz w:val="18"/>
                <w:szCs w:val="18"/>
              </w:rPr>
              <w:t xml:space="preserve">przekroczył zakładany na to czas w projekcie. </w:t>
            </w:r>
            <w:r w:rsidR="00E101FD" w:rsidRPr="00D07BD7">
              <w:rPr>
                <w:rFonts w:ascii="Arial" w:hAnsi="Arial" w:cs="Arial"/>
                <w:sz w:val="18"/>
                <w:szCs w:val="18"/>
              </w:rPr>
              <w:t>Był to czyn</w:t>
            </w:r>
            <w:r w:rsidR="00E101FD" w:rsidRPr="00D07BD7">
              <w:rPr>
                <w:rFonts w:ascii="Arial" w:hAnsi="Arial" w:cs="Arial"/>
                <w:sz w:val="18"/>
                <w:szCs w:val="18"/>
              </w:rPr>
              <w:lastRenderedPageBreak/>
              <w:t>nik niezależny od Jednostki Realizującej Pro</w:t>
            </w:r>
            <w:r w:rsidR="00E101FD">
              <w:rPr>
                <w:rFonts w:ascii="Arial" w:hAnsi="Arial" w:cs="Arial"/>
                <w:sz w:val="18"/>
                <w:szCs w:val="18"/>
              </w:rPr>
              <w:t>jekt.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2. W wyniku publikacji ogłoszenia o zamówieniu otrzymano trzy oferty, z czego najtańsza budziła zastrzeżenia pod kątem jej rzetelności. W związku z powyższym: MGMiŻŚ dwukrotnie zwrócił się pisemnie do oferenta z prośbą o wyjaśnienia oraz zwrócił się pisemnie do Obiorców projektów wskazanych w ww. ofercie jako projekty spełniające kryteria dodatkowe z prośbą o przekazanie stosownych informacji. W rezultacie ww. działań oferta otrzymała 0 punktów za spełnienie kryteriów dodatkowych co potwierdziło zastrzeżenia pod kątem jej rzetelności.</w:t>
            </w:r>
          </w:p>
        </w:tc>
      </w:tr>
      <w:tr w:rsidR="00D07BD7" w:rsidRPr="00D07BD7" w14:paraId="4BD31515" w14:textId="77777777" w:rsidTr="008A6291">
        <w:tc>
          <w:tcPr>
            <w:tcW w:w="1985" w:type="dxa"/>
          </w:tcPr>
          <w:p w14:paraId="01F7E0A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Opracowanie dokumentacji przetargowej tj. Specyfikacji Istotnych Warunków Zamówienia (SIWZ)</w:t>
            </w:r>
          </w:p>
        </w:tc>
        <w:tc>
          <w:tcPr>
            <w:tcW w:w="1559" w:type="dxa"/>
          </w:tcPr>
          <w:p w14:paraId="1D72BF9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2CB19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992" w:type="dxa"/>
          </w:tcPr>
          <w:p w14:paraId="0BA4CA84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3969" w:type="dxa"/>
          </w:tcPr>
          <w:p w14:paraId="4BF9DE54" w14:textId="1DB6B690" w:rsidR="008A6291" w:rsidRPr="00D07BD7" w:rsidRDefault="00AF1E8A" w:rsidP="00D9766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D07BD7" w:rsidRPr="00D07BD7" w14:paraId="2506B32E" w14:textId="77777777" w:rsidTr="008A6291">
        <w:tc>
          <w:tcPr>
            <w:tcW w:w="1985" w:type="dxa"/>
          </w:tcPr>
          <w:p w14:paraId="7BDC94E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</w:p>
        </w:tc>
        <w:tc>
          <w:tcPr>
            <w:tcW w:w="1559" w:type="dxa"/>
          </w:tcPr>
          <w:p w14:paraId="584A412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B36FE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992" w:type="dxa"/>
          </w:tcPr>
          <w:p w14:paraId="05D9DEB9" w14:textId="11CE52C9" w:rsidR="008A6291" w:rsidRPr="00D07BD7" w:rsidRDefault="00294667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3969" w:type="dxa"/>
          </w:tcPr>
          <w:p w14:paraId="7BAC46B3" w14:textId="77777777" w:rsidR="00294667" w:rsidRDefault="00294667" w:rsidP="009519D0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FC96319" w14:textId="425BBB70" w:rsidR="00D25256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14 marca 2019 roku podpisano trzecią umowę (ostatnią) w ramach kamienia milowego,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205917" w14:textId="617FFCC8" w:rsidR="00A72B27" w:rsidRPr="00D07BD7" w:rsidRDefault="00EC0162" w:rsidP="006902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Zadanie </w:t>
            </w:r>
            <w:r w:rsidRPr="00D07BD7">
              <w:rPr>
                <w:rFonts w:ascii="Arial" w:hAnsi="Arial" w:cs="Arial"/>
                <w:sz w:val="18"/>
                <w:szCs w:val="18"/>
              </w:rPr>
              <w:t>nie został</w:t>
            </w:r>
            <w:r>
              <w:rPr>
                <w:rFonts w:ascii="Arial" w:hAnsi="Arial" w:cs="Arial"/>
                <w:sz w:val="18"/>
                <w:szCs w:val="18"/>
              </w:rPr>
              <w:t>o zrealizowane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w planowanym terminie ze względu na zdecydowanie dłuższy niż zakładano rzeczywisty czas niezbędny do przeprowadzenia postępowań o udzielenie zamówień publicznych.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 1. Czas procedowania zamówienia 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przez 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>Komisj</w:t>
            </w:r>
            <w:r w:rsidR="00C84A83">
              <w:rPr>
                <w:rFonts w:ascii="Arial" w:hAnsi="Arial" w:cs="Arial"/>
                <w:sz w:val="18"/>
                <w:szCs w:val="18"/>
              </w:rPr>
              <w:t>ę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 Przetargow</w:t>
            </w:r>
            <w:r w:rsidR="00C84A83">
              <w:rPr>
                <w:rFonts w:ascii="Arial" w:hAnsi="Arial" w:cs="Arial"/>
                <w:sz w:val="18"/>
                <w:szCs w:val="18"/>
              </w:rPr>
              <w:t>ą wynikający z ustawowo określonych terminów oraz stopnia skomplikowania zamówienia</w:t>
            </w:r>
            <w:r w:rsidR="00E101FD">
              <w:rPr>
                <w:rFonts w:ascii="Arial" w:hAnsi="Arial" w:cs="Arial"/>
                <w:sz w:val="18"/>
                <w:szCs w:val="18"/>
              </w:rPr>
              <w:t>.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4BEE" w:rsidRPr="00D07BD7">
              <w:rPr>
                <w:rFonts w:ascii="Arial" w:hAnsi="Arial" w:cs="Arial"/>
                <w:sz w:val="18"/>
                <w:szCs w:val="18"/>
              </w:rPr>
              <w:t xml:space="preserve">Faktyczny okres </w:t>
            </w:r>
            <w:r w:rsidR="00144BEE">
              <w:rPr>
                <w:rFonts w:ascii="Arial" w:hAnsi="Arial" w:cs="Arial"/>
                <w:sz w:val="18"/>
                <w:szCs w:val="18"/>
              </w:rPr>
              <w:t xml:space="preserve">przygotowania przez komisję przetargową pełnej dokumentacji </w:t>
            </w:r>
            <w:r w:rsidR="00E101FD">
              <w:rPr>
                <w:rFonts w:ascii="Arial" w:hAnsi="Arial" w:cs="Arial"/>
                <w:sz w:val="18"/>
                <w:szCs w:val="18"/>
              </w:rPr>
              <w:t>przekroczył zakładany na to czas w projekcie</w:t>
            </w:r>
            <w:r w:rsidR="00144BEE" w:rsidRPr="00D07BD7">
              <w:rPr>
                <w:rFonts w:ascii="Arial" w:hAnsi="Arial" w:cs="Arial"/>
                <w:sz w:val="18"/>
                <w:szCs w:val="18"/>
              </w:rPr>
              <w:t>. Był to czynnik niezależny od Jednostki Realizującej Pro</w:t>
            </w:r>
            <w:r w:rsidR="00144BEE">
              <w:rPr>
                <w:rFonts w:ascii="Arial" w:hAnsi="Arial" w:cs="Arial"/>
                <w:sz w:val="18"/>
                <w:szCs w:val="18"/>
              </w:rPr>
              <w:t>jekt.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EC0162">
              <w:rPr>
                <w:rFonts w:ascii="Arial" w:hAnsi="Arial" w:cs="Arial"/>
                <w:sz w:val="18"/>
                <w:szCs w:val="18"/>
              </w:rPr>
              <w:t>W wyniku publikacji ogłoszenia o zamó</w:t>
            </w:r>
            <w:r w:rsidR="006902D4">
              <w:rPr>
                <w:rFonts w:ascii="Arial" w:hAnsi="Arial" w:cs="Arial"/>
                <w:sz w:val="18"/>
                <w:szCs w:val="18"/>
              </w:rPr>
              <w:t>wieniu otrzymano trzy oferty dla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02D4">
              <w:rPr>
                <w:rFonts w:ascii="Arial" w:hAnsi="Arial" w:cs="Arial"/>
                <w:sz w:val="18"/>
                <w:szCs w:val="18"/>
              </w:rPr>
              <w:t xml:space="preserve">których </w:t>
            </w:r>
            <w:r w:rsidR="00C84A83">
              <w:rPr>
                <w:rFonts w:ascii="Arial" w:hAnsi="Arial" w:cs="Arial"/>
                <w:sz w:val="18"/>
                <w:szCs w:val="18"/>
              </w:rPr>
              <w:t>konieczn</w:t>
            </w:r>
            <w:r w:rsidR="006902D4">
              <w:rPr>
                <w:rFonts w:ascii="Arial" w:hAnsi="Arial" w:cs="Arial"/>
                <w:sz w:val="18"/>
                <w:szCs w:val="18"/>
              </w:rPr>
              <w:t>e było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przeprowadzenia niezbędnych dodatkowych czynności, co </w:t>
            </w:r>
            <w:r w:rsidRPr="00EC0162">
              <w:rPr>
                <w:rFonts w:ascii="Arial" w:hAnsi="Arial" w:cs="Arial"/>
                <w:sz w:val="18"/>
                <w:szCs w:val="18"/>
              </w:rPr>
              <w:t>również</w:t>
            </w:r>
            <w:r w:rsidR="00C84A83">
              <w:rPr>
                <w:rFonts w:ascii="Arial" w:hAnsi="Arial" w:cs="Arial"/>
                <w:sz w:val="18"/>
                <w:szCs w:val="18"/>
              </w:rPr>
              <w:t xml:space="preserve"> doprowadziło do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przekrocz</w:t>
            </w:r>
            <w:r w:rsidR="00C84A83">
              <w:rPr>
                <w:rFonts w:ascii="Arial" w:hAnsi="Arial" w:cs="Arial"/>
                <w:sz w:val="18"/>
                <w:szCs w:val="18"/>
              </w:rPr>
              <w:t>enia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zakładan</w:t>
            </w:r>
            <w:r w:rsidR="00C84A83">
              <w:rPr>
                <w:rFonts w:ascii="Arial" w:hAnsi="Arial" w:cs="Arial"/>
                <w:sz w:val="18"/>
                <w:szCs w:val="18"/>
              </w:rPr>
              <w:t>ego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czas</w:t>
            </w:r>
            <w:r w:rsidR="00C84A83">
              <w:rPr>
                <w:rFonts w:ascii="Arial" w:hAnsi="Arial" w:cs="Arial"/>
                <w:sz w:val="18"/>
                <w:szCs w:val="18"/>
              </w:rPr>
              <w:t>u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 na to zadanie.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2D791628" w14:textId="77777777" w:rsidTr="008A6291">
        <w:tc>
          <w:tcPr>
            <w:tcW w:w="1985" w:type="dxa"/>
          </w:tcPr>
          <w:p w14:paraId="68EBF20D" w14:textId="576151D8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Zakup, instalacja i konfiguracja sprzętu teleinformatycznego (z wyłączeniem zakupu serwerów SIPAM)</w:t>
            </w:r>
          </w:p>
        </w:tc>
        <w:tc>
          <w:tcPr>
            <w:tcW w:w="1559" w:type="dxa"/>
          </w:tcPr>
          <w:p w14:paraId="3EB1C45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C66C3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B314FD2" w14:textId="65782422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130FEAC8" w14:textId="77777777" w:rsidR="007E1E3A" w:rsidRPr="00D07BD7" w:rsidRDefault="000651D8" w:rsidP="008B7B20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 w:rsidR="008B7B20"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CFF1B8" w14:textId="6057CC13" w:rsidR="008A6291" w:rsidRPr="00D07BD7" w:rsidRDefault="00B33261" w:rsidP="00B332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D47B01"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infrastruktury sprzętowo-programowej na potrzeby wdrożenia projektu „System Informacji Przestrzennej Administracji Morskiej (SIPAM)” podpisano 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D47B01" w:rsidRPr="00D07BD7">
              <w:rPr>
                <w:rFonts w:ascii="Arial" w:hAnsi="Arial" w:cs="Arial"/>
                <w:sz w:val="18"/>
                <w:szCs w:val="18"/>
              </w:rPr>
              <w:t>31 października 2018 roku.</w:t>
            </w:r>
          </w:p>
        </w:tc>
      </w:tr>
      <w:tr w:rsidR="00D07BD7" w:rsidRPr="00D07BD7" w14:paraId="0EA017F0" w14:textId="77777777" w:rsidTr="008A6291">
        <w:tc>
          <w:tcPr>
            <w:tcW w:w="1985" w:type="dxa"/>
          </w:tcPr>
          <w:p w14:paraId="1953CF2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Przebudowa pomieszczeń serwerowych jednostek administracji morskiej w zależności od potrzeb</w:t>
            </w:r>
          </w:p>
        </w:tc>
        <w:tc>
          <w:tcPr>
            <w:tcW w:w="1559" w:type="dxa"/>
          </w:tcPr>
          <w:p w14:paraId="3F3FD89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654AF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3BF98FFE" w14:textId="1350420C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3A9681A" w14:textId="77777777" w:rsidR="008A6291" w:rsidRPr="00D07BD7" w:rsidRDefault="000651D8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7015C7D5" w14:textId="4582EC66" w:rsidR="007E1E3A" w:rsidRPr="00D07BD7" w:rsidRDefault="004D536C" w:rsidP="004D53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lastRenderedPageBreak/>
              <w:t>frastruktury sprzętowo-programowej na potrzeby wdrożenia projektu „System Informacji Przestrzennej Administracji Morskiej (SIPAM)” podpisano w dniu 31 października 2018 roku.</w:t>
            </w:r>
          </w:p>
        </w:tc>
      </w:tr>
      <w:tr w:rsidR="00D07BD7" w:rsidRPr="00D07BD7" w14:paraId="02C75E0A" w14:textId="77777777" w:rsidTr="008A6291">
        <w:tc>
          <w:tcPr>
            <w:tcW w:w="1985" w:type="dxa"/>
          </w:tcPr>
          <w:p w14:paraId="2F8ADD64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Zakup serwerów dla węzłów systemu oraz ich wdrożenie i konfiguracja w środowisku docelowym SIPAM</w:t>
            </w:r>
          </w:p>
        </w:tc>
        <w:tc>
          <w:tcPr>
            <w:tcW w:w="1559" w:type="dxa"/>
          </w:tcPr>
          <w:p w14:paraId="7D5C06A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78909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024F8278" w14:textId="452EA4EB" w:rsidR="008A6291" w:rsidRPr="00D07BD7" w:rsidRDefault="00D25256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3969" w:type="dxa"/>
          </w:tcPr>
          <w:p w14:paraId="34E8C297" w14:textId="77777777" w:rsidR="00D25256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3F4CDD02" w14:textId="607DF990" w:rsidR="008A6291" w:rsidRPr="00D07BD7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 w:rsidRPr="00D25256">
              <w:rPr>
                <w:rFonts w:ascii="Arial" w:hAnsi="Arial" w:cs="Arial"/>
                <w:sz w:val="18"/>
                <w:szCs w:val="18"/>
              </w:rPr>
              <w:t xml:space="preserve">Brak urządzenia </w:t>
            </w: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D25256">
              <w:rPr>
                <w:rFonts w:ascii="Arial" w:hAnsi="Arial" w:cs="Arial"/>
                <w:sz w:val="18"/>
                <w:szCs w:val="18"/>
              </w:rPr>
              <w:t>Router brzegowy sieci typ 1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  <w:r w:rsidRPr="00D25256">
              <w:rPr>
                <w:rFonts w:ascii="Arial" w:hAnsi="Arial" w:cs="Arial"/>
                <w:sz w:val="18"/>
                <w:szCs w:val="18"/>
              </w:rPr>
              <w:t xml:space="preserve"> w polskiej dystrybucji do końca 2018 roku.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447683CA" w14:textId="77777777" w:rsidTr="008A6291">
        <w:tc>
          <w:tcPr>
            <w:tcW w:w="1985" w:type="dxa"/>
          </w:tcPr>
          <w:p w14:paraId="356F549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systemowe serwerów SIPAM</w:t>
            </w:r>
          </w:p>
        </w:tc>
        <w:tc>
          <w:tcPr>
            <w:tcW w:w="1559" w:type="dxa"/>
          </w:tcPr>
          <w:p w14:paraId="0B0DE09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6E756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992" w:type="dxa"/>
          </w:tcPr>
          <w:p w14:paraId="5E9B8547" w14:textId="2D3AD453" w:rsidR="008A6291" w:rsidRPr="00D07BD7" w:rsidRDefault="00E52786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969" w:type="dxa"/>
          </w:tcPr>
          <w:p w14:paraId="5776419C" w14:textId="77777777" w:rsidR="00D25256" w:rsidRDefault="00D25256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0F54D4DB" w14:textId="5706C6C8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BD7" w:rsidRPr="00D07BD7" w14:paraId="31F0B8A4" w14:textId="77777777" w:rsidTr="008A6291">
        <w:tc>
          <w:tcPr>
            <w:tcW w:w="1985" w:type="dxa"/>
          </w:tcPr>
          <w:p w14:paraId="7B29E99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serwerowe typu GIS węzłów SIPAM</w:t>
            </w:r>
          </w:p>
        </w:tc>
        <w:tc>
          <w:tcPr>
            <w:tcW w:w="1559" w:type="dxa"/>
          </w:tcPr>
          <w:p w14:paraId="11F3951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AC16D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0CF4C40C" w14:textId="09A97792" w:rsidR="008A6291" w:rsidRPr="00D07BD7" w:rsidRDefault="00C978FB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3969" w:type="dxa"/>
          </w:tcPr>
          <w:p w14:paraId="1E7BDF43" w14:textId="77777777" w:rsidR="006922C1" w:rsidRDefault="006922C1" w:rsidP="006922C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2511AB98" w14:textId="5E2391F6" w:rsidR="008A6291" w:rsidRPr="00B82FDA" w:rsidRDefault="00E663EC" w:rsidP="006922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 w:rsidR="00343F99"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51BF4AD3" w14:textId="77777777" w:rsidTr="008A6291">
        <w:tc>
          <w:tcPr>
            <w:tcW w:w="1985" w:type="dxa"/>
          </w:tcPr>
          <w:p w14:paraId="7AE83DEC" w14:textId="4109A040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Dostawa/instalacja licencji na oprogramowanie użytkowe typu GIS dla terminali klienckich systemu SIPAM</w:t>
            </w:r>
          </w:p>
        </w:tc>
        <w:tc>
          <w:tcPr>
            <w:tcW w:w="1559" w:type="dxa"/>
          </w:tcPr>
          <w:p w14:paraId="3A9C787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C6AFF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992" w:type="dxa"/>
          </w:tcPr>
          <w:p w14:paraId="24599A28" w14:textId="752C4218" w:rsidR="008A6291" w:rsidRPr="00D07BD7" w:rsidRDefault="00C978FB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3969" w:type="dxa"/>
          </w:tcPr>
          <w:p w14:paraId="7A21902E" w14:textId="77777777" w:rsidR="006922C1" w:rsidRDefault="006922C1" w:rsidP="006922C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1C7BBAF0" w14:textId="08F0BFDA" w:rsidR="008A6291" w:rsidRPr="008C20A2" w:rsidRDefault="00343F99" w:rsidP="006922C1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281F7099" w14:textId="77777777" w:rsidTr="008A6291">
        <w:tc>
          <w:tcPr>
            <w:tcW w:w="1985" w:type="dxa"/>
          </w:tcPr>
          <w:p w14:paraId="0BEB47D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 i dostawa jednostek komputerowych dla pracowników jednostek administracji morskiej</w:t>
            </w:r>
          </w:p>
        </w:tc>
        <w:tc>
          <w:tcPr>
            <w:tcW w:w="1559" w:type="dxa"/>
          </w:tcPr>
          <w:p w14:paraId="5C2F032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97D98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668140B9" w14:textId="74BC2A6C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E8AE65C" w14:textId="77777777" w:rsidR="008A6291" w:rsidRPr="00D07BD7" w:rsidRDefault="000651D8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079CDEE3" w14:textId="66770D76" w:rsidR="006643BE" w:rsidRPr="00D07BD7" w:rsidRDefault="001030C4" w:rsidP="009E74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 xml:space="preserve">oprogramowania na potrzeby SIPAM. </w:t>
            </w:r>
            <w:r w:rsidR="006643BE" w:rsidRPr="00D07BD7">
              <w:rPr>
                <w:rFonts w:ascii="Arial" w:hAnsi="Arial" w:cs="Arial"/>
                <w:sz w:val="18"/>
                <w:szCs w:val="18"/>
              </w:rPr>
              <w:t>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D07BD7" w:rsidRPr="00D07BD7" w14:paraId="22AEE701" w14:textId="77777777" w:rsidTr="008A6291">
        <w:tc>
          <w:tcPr>
            <w:tcW w:w="1985" w:type="dxa"/>
          </w:tcPr>
          <w:p w14:paraId="2B2CC02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Digitalizacja dokumentów administracji morskiej i wprowadzenie do opracowanej infrastruktury SIPAM</w:t>
            </w:r>
          </w:p>
        </w:tc>
        <w:tc>
          <w:tcPr>
            <w:tcW w:w="1559" w:type="dxa"/>
          </w:tcPr>
          <w:p w14:paraId="6ED469D6" w14:textId="34AE783C" w:rsidR="008A6291" w:rsidRPr="00D07BD7" w:rsidRDefault="00680820" w:rsidP="008A629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3 410,00;</w:t>
            </w:r>
          </w:p>
        </w:tc>
        <w:tc>
          <w:tcPr>
            <w:tcW w:w="1134" w:type="dxa"/>
          </w:tcPr>
          <w:p w14:paraId="65ED367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992" w:type="dxa"/>
          </w:tcPr>
          <w:p w14:paraId="58507470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E1F44B6" w14:textId="77777777" w:rsidR="008A6291" w:rsidRDefault="00583F7E" w:rsidP="00343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18FBF69" w14:textId="48106919" w:rsidR="00DA52CC" w:rsidRPr="004F73C8" w:rsidRDefault="00DA52CC" w:rsidP="00343F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BD7" w:rsidRPr="00D07BD7" w14:paraId="7FB964C3" w14:textId="77777777" w:rsidTr="008A6291">
        <w:tc>
          <w:tcPr>
            <w:tcW w:w="1985" w:type="dxa"/>
          </w:tcPr>
          <w:p w14:paraId="2C6E408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jednolitych modeli danych dla zbiorów danych objętych projektem</w:t>
            </w:r>
          </w:p>
        </w:tc>
        <w:tc>
          <w:tcPr>
            <w:tcW w:w="1559" w:type="dxa"/>
          </w:tcPr>
          <w:p w14:paraId="1CAE8B6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7E12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992" w:type="dxa"/>
          </w:tcPr>
          <w:p w14:paraId="67F468DE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09842F3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66805F6" w14:textId="0962EAD5" w:rsidR="008A6291" w:rsidRPr="009E747E" w:rsidRDefault="00DA52CC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W dniu 14 marca 2019 roku podpisano umowę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Planowany termin osiągnięcia kamienia to 24 luty 2020 roku.</w:t>
            </w:r>
          </w:p>
        </w:tc>
      </w:tr>
      <w:tr w:rsidR="00D07BD7" w:rsidRPr="00D07BD7" w14:paraId="022CBFB1" w14:textId="77777777" w:rsidTr="008A6291">
        <w:tc>
          <w:tcPr>
            <w:tcW w:w="1985" w:type="dxa"/>
          </w:tcPr>
          <w:p w14:paraId="065B881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Pozyskanie, przetworzenie i harmonizacja danych objętych Projektem, ich włączenie do SIPAM i udostępnienie</w:t>
            </w:r>
          </w:p>
        </w:tc>
        <w:tc>
          <w:tcPr>
            <w:tcW w:w="1559" w:type="dxa"/>
          </w:tcPr>
          <w:p w14:paraId="0080F94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E7FC9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992" w:type="dxa"/>
          </w:tcPr>
          <w:p w14:paraId="54D25153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8DFD2C8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386B725" w14:textId="306C71CB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5C2D1FB5" w14:textId="77777777" w:rsidTr="008A6291">
        <w:tc>
          <w:tcPr>
            <w:tcW w:w="1985" w:type="dxa"/>
          </w:tcPr>
          <w:p w14:paraId="2108EE5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modelu RDF i publikacja plików w modelu RDF </w:t>
            </w:r>
          </w:p>
        </w:tc>
        <w:tc>
          <w:tcPr>
            <w:tcW w:w="1559" w:type="dxa"/>
          </w:tcPr>
          <w:p w14:paraId="6EAD159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122175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13E694EA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612A5D0F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FEB97D9" w14:textId="58937BCA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568EE8D6" w14:textId="77777777" w:rsidTr="008A6291">
        <w:tc>
          <w:tcPr>
            <w:tcW w:w="1985" w:type="dxa"/>
          </w:tcPr>
          <w:p w14:paraId="4A2649F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postaci HTML i publikacja stron HTML + RDF </w:t>
            </w:r>
          </w:p>
        </w:tc>
        <w:tc>
          <w:tcPr>
            <w:tcW w:w="1559" w:type="dxa"/>
          </w:tcPr>
          <w:p w14:paraId="39F07DC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15BDC4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0F1DE1D2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6049CF3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86CF20F" w14:textId="6D3858D8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484B83F3" w14:textId="77777777" w:rsidTr="008A6291">
        <w:tc>
          <w:tcPr>
            <w:tcW w:w="1985" w:type="dxa"/>
          </w:tcPr>
          <w:p w14:paraId="43874D3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Zasilenie danymi repozytorium</w:t>
            </w:r>
          </w:p>
        </w:tc>
        <w:tc>
          <w:tcPr>
            <w:tcW w:w="1559" w:type="dxa"/>
          </w:tcPr>
          <w:p w14:paraId="38A9C09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4D847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2FDFCADC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25D4C70" w14:textId="77777777" w:rsidR="000D2DFB" w:rsidRDefault="000D2DFB" w:rsidP="000D2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776168A" w14:textId="16C78A98" w:rsidR="008A6291" w:rsidRPr="009E747E" w:rsidRDefault="008A6291" w:rsidP="000D2DF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268EC9A7" w14:textId="77777777" w:rsidTr="008A6291">
        <w:tc>
          <w:tcPr>
            <w:tcW w:w="1985" w:type="dxa"/>
          </w:tcPr>
          <w:p w14:paraId="0952C4E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analizy przedwdrożeniowej</w:t>
            </w:r>
          </w:p>
        </w:tc>
        <w:tc>
          <w:tcPr>
            <w:tcW w:w="1559" w:type="dxa"/>
          </w:tcPr>
          <w:p w14:paraId="4758E17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CF066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1C3635CD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005E2F7C" w14:textId="77777777" w:rsidR="000D2DFB" w:rsidRDefault="000D2DFB" w:rsidP="000D2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66BAC7C5" w14:textId="43824F7E" w:rsidR="008A6291" w:rsidRPr="009E747E" w:rsidRDefault="00343F99" w:rsidP="00DA52CC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DA52CC" w:rsidRPr="00D07BD7">
              <w:rPr>
                <w:rFonts w:ascii="Arial" w:hAnsi="Arial" w:cs="Arial"/>
                <w:sz w:val="18"/>
                <w:szCs w:val="18"/>
              </w:rPr>
              <w:t>analizy przedwdrożeniowej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 otrzymano w dniu </w:t>
            </w:r>
            <w:r w:rsidR="004B7675"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r w:rsidR="004B7675">
              <w:rPr>
                <w:rFonts w:ascii="Arial" w:hAnsi="Arial" w:cs="Arial"/>
                <w:sz w:val="18"/>
                <w:szCs w:val="18"/>
              </w:rPr>
              <w:t>.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 Obecnie projekt podlega uzgodnieniu z administracją morską. </w:t>
            </w:r>
          </w:p>
        </w:tc>
      </w:tr>
      <w:tr w:rsidR="00D07BD7" w:rsidRPr="00D07BD7" w14:paraId="3F0B2CD0" w14:textId="77777777" w:rsidTr="008A6291">
        <w:tc>
          <w:tcPr>
            <w:tcW w:w="1985" w:type="dxa"/>
          </w:tcPr>
          <w:p w14:paraId="4EDAD38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i przedstawienie do akceptacji planu prac wraz z harmonogramem realizacji Zamówienia</w:t>
            </w:r>
          </w:p>
        </w:tc>
        <w:tc>
          <w:tcPr>
            <w:tcW w:w="1559" w:type="dxa"/>
          </w:tcPr>
          <w:p w14:paraId="3BF19CF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1E742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E5C167B" w14:textId="067D2454" w:rsidR="008A6291" w:rsidRPr="00D07BD7" w:rsidRDefault="006C606F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3969" w:type="dxa"/>
          </w:tcPr>
          <w:p w14:paraId="2CAAD4D2" w14:textId="77777777" w:rsidR="006C606F" w:rsidRDefault="006C606F" w:rsidP="006C606F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7DD71345" w14:textId="62976694" w:rsidR="008A6291" w:rsidRPr="00D07BD7" w:rsidRDefault="00343F99" w:rsidP="006C60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82F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5746CEE2" w14:textId="77777777" w:rsidTr="008A6291">
        <w:tc>
          <w:tcPr>
            <w:tcW w:w="1985" w:type="dxa"/>
          </w:tcPr>
          <w:p w14:paraId="2AC2ED0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projektu technicznego wdrożenia systemu i przedstawienie Zamawiającemu do akceptacji</w:t>
            </w:r>
          </w:p>
        </w:tc>
        <w:tc>
          <w:tcPr>
            <w:tcW w:w="1559" w:type="dxa"/>
          </w:tcPr>
          <w:p w14:paraId="130BC14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022F7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7FE48375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E33BD7F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7C94106B" w14:textId="68654E2C" w:rsidR="008A6291" w:rsidRPr="00C1085B" w:rsidRDefault="00343F99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Projekt </w:t>
            </w:r>
            <w:r w:rsidR="00DD3113" w:rsidRPr="00D07BD7">
              <w:rPr>
                <w:rFonts w:ascii="Arial" w:hAnsi="Arial" w:cs="Arial"/>
                <w:sz w:val="18"/>
                <w:szCs w:val="18"/>
              </w:rPr>
              <w:t>technicznego wdrożenia systemu</w:t>
            </w:r>
            <w:r w:rsidR="00DD31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52CC">
              <w:rPr>
                <w:rFonts w:ascii="Arial" w:hAnsi="Arial" w:cs="Arial"/>
                <w:sz w:val="18"/>
                <w:szCs w:val="18"/>
              </w:rPr>
              <w:t xml:space="preserve">otrzymano w dniu </w:t>
            </w:r>
            <w:r w:rsidR="00DA52CC"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r w:rsidR="00DA52CC">
              <w:rPr>
                <w:rFonts w:ascii="Arial" w:hAnsi="Arial" w:cs="Arial"/>
                <w:sz w:val="18"/>
                <w:szCs w:val="18"/>
              </w:rPr>
              <w:t>. Obecnie projekt podlega uzgodnieniu z administracją morską.</w:t>
            </w:r>
          </w:p>
        </w:tc>
      </w:tr>
      <w:tr w:rsidR="00D07BD7" w:rsidRPr="00D07BD7" w14:paraId="125CD901" w14:textId="77777777" w:rsidTr="008A6291">
        <w:tc>
          <w:tcPr>
            <w:tcW w:w="1985" w:type="dxa"/>
          </w:tcPr>
          <w:p w14:paraId="527B913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Budowa dedykowanego oprogramowania</w:t>
            </w:r>
          </w:p>
        </w:tc>
        <w:tc>
          <w:tcPr>
            <w:tcW w:w="1559" w:type="dxa"/>
          </w:tcPr>
          <w:p w14:paraId="697FA28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8B1F4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543C123A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EDF1A98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F942BB1" w14:textId="7535FDDE" w:rsidR="008A6291" w:rsidRPr="009E747E" w:rsidRDefault="008A6291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0BA72425" w14:textId="77777777" w:rsidTr="008A6291">
        <w:tc>
          <w:tcPr>
            <w:tcW w:w="1985" w:type="dxa"/>
          </w:tcPr>
          <w:p w14:paraId="0EFDBB9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Dostarczenie, instalacja, konfiguracja oprogramowania</w:t>
            </w:r>
          </w:p>
        </w:tc>
        <w:tc>
          <w:tcPr>
            <w:tcW w:w="1559" w:type="dxa"/>
          </w:tcPr>
          <w:p w14:paraId="3711E9C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42E018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319BE045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3F791F4" w14:textId="1EB7CF06" w:rsidR="00A026AA" w:rsidRPr="004F73C8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09D21D70" w14:textId="77777777" w:rsidTr="008A6291">
        <w:trPr>
          <w:trHeight w:val="488"/>
        </w:trPr>
        <w:tc>
          <w:tcPr>
            <w:tcW w:w="1985" w:type="dxa"/>
          </w:tcPr>
          <w:p w14:paraId="2622658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Utworzenie interfejsów programowania API </w:t>
            </w:r>
          </w:p>
        </w:tc>
        <w:tc>
          <w:tcPr>
            <w:tcW w:w="1559" w:type="dxa"/>
          </w:tcPr>
          <w:p w14:paraId="109CB2F9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8ABB4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992" w:type="dxa"/>
          </w:tcPr>
          <w:p w14:paraId="733F247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0DC2C1B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58673110" w14:textId="75F28DD5" w:rsidR="00A026AA" w:rsidRPr="009E747E" w:rsidRDefault="00A026AA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7BC32E79" w14:textId="77777777" w:rsidTr="008A6291">
        <w:tc>
          <w:tcPr>
            <w:tcW w:w="1985" w:type="dxa"/>
          </w:tcPr>
          <w:p w14:paraId="66B0B16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Wdrożenie węzła publicznego SIPAM</w:t>
            </w:r>
          </w:p>
        </w:tc>
        <w:tc>
          <w:tcPr>
            <w:tcW w:w="1559" w:type="dxa"/>
          </w:tcPr>
          <w:p w14:paraId="6AF46A70" w14:textId="5CF751DA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17BAA8DA" w14:textId="7E1D223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3 638,00;</w:t>
            </w:r>
          </w:p>
          <w:p w14:paraId="2555C26C" w14:textId="634DEB81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5A0D0E31" w14:textId="3E7340E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16;</w:t>
            </w:r>
          </w:p>
          <w:p w14:paraId="1B550E51" w14:textId="4D7D36D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50 000;</w:t>
            </w:r>
          </w:p>
          <w:p w14:paraId="57AE45CD" w14:textId="4E078E10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0,01;</w:t>
            </w:r>
          </w:p>
          <w:p w14:paraId="070610F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14,77;</w:t>
            </w:r>
          </w:p>
          <w:p w14:paraId="23919F85" w14:textId="5C7C6273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3;</w:t>
            </w:r>
          </w:p>
        </w:tc>
        <w:tc>
          <w:tcPr>
            <w:tcW w:w="1134" w:type="dxa"/>
          </w:tcPr>
          <w:p w14:paraId="24A17D8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03-2020</w:t>
            </w:r>
          </w:p>
        </w:tc>
        <w:tc>
          <w:tcPr>
            <w:tcW w:w="992" w:type="dxa"/>
          </w:tcPr>
          <w:p w14:paraId="625926BD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EF8B813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1300F2F" w14:textId="0F4F3445" w:rsidR="00A026AA" w:rsidRPr="009E747E" w:rsidRDefault="00A026AA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44B4800D" w14:textId="77777777" w:rsidTr="008A6291">
        <w:tc>
          <w:tcPr>
            <w:tcW w:w="1985" w:type="dxa"/>
          </w:tcPr>
          <w:p w14:paraId="09DAE533" w14:textId="10B87592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Testy funkcjonalne i wydajnościowe w środowisku docelowym</w:t>
            </w:r>
          </w:p>
        </w:tc>
        <w:tc>
          <w:tcPr>
            <w:tcW w:w="1559" w:type="dxa"/>
          </w:tcPr>
          <w:p w14:paraId="2D979824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B462EA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992" w:type="dxa"/>
          </w:tcPr>
          <w:p w14:paraId="42436993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B6D7704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F35F994" w14:textId="7B4B4A56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64F2AA7C" w14:textId="77777777" w:rsidTr="008A6291">
        <w:tc>
          <w:tcPr>
            <w:tcW w:w="1985" w:type="dxa"/>
          </w:tcPr>
          <w:p w14:paraId="5BA15208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szkoleń z zakresu posługiwania się i administrowania opracowanym SIPAM</w:t>
            </w:r>
          </w:p>
        </w:tc>
        <w:tc>
          <w:tcPr>
            <w:tcW w:w="1559" w:type="dxa"/>
          </w:tcPr>
          <w:p w14:paraId="56D4D88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842BF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6F971936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7463C8C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2AF2A33" w14:textId="2B9DDC3A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7755F5AC" w14:textId="77777777" w:rsidTr="008A6291">
        <w:tc>
          <w:tcPr>
            <w:tcW w:w="1985" w:type="dxa"/>
          </w:tcPr>
          <w:p w14:paraId="2A55B992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Stworzenie dokumentacji powdrożeniowej systemu</w:t>
            </w:r>
          </w:p>
        </w:tc>
        <w:tc>
          <w:tcPr>
            <w:tcW w:w="1559" w:type="dxa"/>
          </w:tcPr>
          <w:p w14:paraId="35BCF294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B2D7C2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992" w:type="dxa"/>
          </w:tcPr>
          <w:p w14:paraId="640BE59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8745FBF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773FA4C" w14:textId="621658DD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58960E71" w14:textId="77777777" w:rsidTr="008A6291">
        <w:tc>
          <w:tcPr>
            <w:tcW w:w="1985" w:type="dxa"/>
          </w:tcPr>
          <w:p w14:paraId="0B00172F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wybranych materiałów promocyjnych i informacyjnych o Projekcie</w:t>
            </w:r>
          </w:p>
        </w:tc>
        <w:tc>
          <w:tcPr>
            <w:tcW w:w="1559" w:type="dxa"/>
          </w:tcPr>
          <w:p w14:paraId="1D86197A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8C280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67E84BB0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5AC932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26AA" w:rsidRPr="00D07BD7" w14:paraId="2418D97D" w14:textId="77777777" w:rsidTr="008A6291">
        <w:tc>
          <w:tcPr>
            <w:tcW w:w="1985" w:type="dxa"/>
          </w:tcPr>
          <w:p w14:paraId="6B55A5E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Monitorowanie, raportowanie, nadzór nad stanem realizacji poszczególnych zadań oraz odbiór Projektu</w:t>
            </w:r>
          </w:p>
        </w:tc>
        <w:tc>
          <w:tcPr>
            <w:tcW w:w="1559" w:type="dxa"/>
          </w:tcPr>
          <w:p w14:paraId="4FC96967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DD64F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4773BAF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D398E66" w14:textId="48C89B65" w:rsidR="00A026AA" w:rsidRPr="00D07BD7" w:rsidRDefault="00343F99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087F2F9D" w14:textId="77777777" w:rsidTr="008A6291">
        <w:tc>
          <w:tcPr>
            <w:tcW w:w="1985" w:type="dxa"/>
          </w:tcPr>
          <w:p w14:paraId="685C62C1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Rozliczanie finansowe projektu</w:t>
            </w:r>
          </w:p>
        </w:tc>
        <w:tc>
          <w:tcPr>
            <w:tcW w:w="1559" w:type="dxa"/>
          </w:tcPr>
          <w:p w14:paraId="3B4577D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13DC0E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BEDFA92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3B2AC0C" w14:textId="005C1766" w:rsidR="00A026AA" w:rsidRPr="00D07BD7" w:rsidRDefault="00E77AE4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6E22DDA0" w14:textId="77777777" w:rsidTr="008A6291">
        <w:tc>
          <w:tcPr>
            <w:tcW w:w="1985" w:type="dxa"/>
          </w:tcPr>
          <w:p w14:paraId="0BADFD7F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Studium Wykonalności jako załącznika do wniosku o dofinansowanie</w:t>
            </w:r>
          </w:p>
        </w:tc>
        <w:tc>
          <w:tcPr>
            <w:tcW w:w="1559" w:type="dxa"/>
          </w:tcPr>
          <w:p w14:paraId="2CE29FE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1CD4DC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992" w:type="dxa"/>
          </w:tcPr>
          <w:p w14:paraId="261EA60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3969" w:type="dxa"/>
          </w:tcPr>
          <w:p w14:paraId="00D45DE5" w14:textId="1D042206" w:rsidR="00A026AA" w:rsidRPr="00D07BD7" w:rsidRDefault="00AE6D78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A026AA" w:rsidRPr="00D07BD7">
              <w:rPr>
                <w:rFonts w:ascii="Arial" w:hAnsi="Arial" w:cs="Arial"/>
                <w:sz w:val="18"/>
                <w:szCs w:val="18"/>
              </w:rPr>
              <w:t>siągnięty.</w:t>
            </w:r>
          </w:p>
        </w:tc>
      </w:tr>
    </w:tbl>
    <w:p w14:paraId="64ADCCB0" w14:textId="7027336B" w:rsidR="00141A92" w:rsidRPr="00D07BD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07BD7" w:rsidRPr="00D07BD7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D07BD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07BD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D07BD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07BD7" w:rsidRPr="00D07BD7" w14:paraId="7624204D" w14:textId="77777777" w:rsidTr="00047D9D">
        <w:tc>
          <w:tcPr>
            <w:tcW w:w="2545" w:type="dxa"/>
          </w:tcPr>
          <w:p w14:paraId="05FC23D4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</w:t>
            </w:r>
          </w:p>
          <w:p w14:paraId="6A838B70" w14:textId="7AE4D569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1278" w:type="dxa"/>
          </w:tcPr>
          <w:p w14:paraId="53893276" w14:textId="37DC2630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5161AC7D" w14:textId="29901867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2B230629" w14:textId="5C7D24A4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79B0290F" w14:textId="159134C4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6220D4F" w14:textId="77777777" w:rsidTr="00047D9D">
        <w:tc>
          <w:tcPr>
            <w:tcW w:w="2545" w:type="dxa"/>
          </w:tcPr>
          <w:p w14:paraId="57B21046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zdigitalizowanych dokumentów zawierających informacje</w:t>
            </w:r>
          </w:p>
          <w:p w14:paraId="1E38DDE0" w14:textId="2C50CFA2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</w:tcPr>
          <w:p w14:paraId="06A48DA1" w14:textId="333A539E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1DA1641" w14:textId="16676ED4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</w:t>
            </w:r>
          </w:p>
        </w:tc>
        <w:tc>
          <w:tcPr>
            <w:tcW w:w="1701" w:type="dxa"/>
          </w:tcPr>
          <w:p w14:paraId="5694A15D" w14:textId="51FAD321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268" w:type="dxa"/>
          </w:tcPr>
          <w:p w14:paraId="1EFF6067" w14:textId="1D6EABFD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6CA28158" w14:textId="77777777" w:rsidTr="00047D9D">
        <w:tc>
          <w:tcPr>
            <w:tcW w:w="2545" w:type="dxa"/>
          </w:tcPr>
          <w:p w14:paraId="7993B4E8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</w:t>
            </w:r>
          </w:p>
          <w:p w14:paraId="78BCB626" w14:textId="77F07B8F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7AA4D95F" w14:textId="5FC1073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2133FE3C" w14:textId="42C157A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</w:t>
            </w:r>
          </w:p>
        </w:tc>
        <w:tc>
          <w:tcPr>
            <w:tcW w:w="1701" w:type="dxa"/>
          </w:tcPr>
          <w:p w14:paraId="62AD0CDA" w14:textId="440EB922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23D2E4DC" w14:textId="6BEC1A08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74DDD39" w14:textId="77777777" w:rsidTr="00047D9D">
        <w:tc>
          <w:tcPr>
            <w:tcW w:w="2545" w:type="dxa"/>
          </w:tcPr>
          <w:p w14:paraId="3148FA5E" w14:textId="75CBDE10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1278" w:type="dxa"/>
          </w:tcPr>
          <w:p w14:paraId="57B9A31E" w14:textId="2913069F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07B38DDE" w14:textId="7944F63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E563A92" w14:textId="4D737D3F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1D119A01" w14:textId="773A5DD6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5668008" w14:textId="77777777" w:rsidTr="00047D9D">
        <w:tc>
          <w:tcPr>
            <w:tcW w:w="2545" w:type="dxa"/>
          </w:tcPr>
          <w:p w14:paraId="1D8BC414" w14:textId="4CE5E019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15EDF535" w14:textId="29D2ECB6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64E49FBC" w14:textId="5A14524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1D0D2F4" w14:textId="002F1953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3339A472" w14:textId="77777777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7BD7" w:rsidRPr="00D07BD7" w14:paraId="0DC362F4" w14:textId="77777777" w:rsidTr="00047D9D">
        <w:tc>
          <w:tcPr>
            <w:tcW w:w="2545" w:type="dxa"/>
          </w:tcPr>
          <w:p w14:paraId="0BAE0783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</w:t>
            </w:r>
          </w:p>
          <w:p w14:paraId="084A8BDA" w14:textId="2529C537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sektora publicznego</w:t>
            </w:r>
          </w:p>
        </w:tc>
        <w:tc>
          <w:tcPr>
            <w:tcW w:w="1278" w:type="dxa"/>
          </w:tcPr>
          <w:p w14:paraId="2EE3CE9D" w14:textId="4E7F89B9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47A1B26" w14:textId="602CEAE4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50 000,00</w:t>
            </w:r>
          </w:p>
        </w:tc>
        <w:tc>
          <w:tcPr>
            <w:tcW w:w="1701" w:type="dxa"/>
          </w:tcPr>
          <w:p w14:paraId="0B7070E7" w14:textId="638D6C48" w:rsidR="00095F74" w:rsidRPr="00D07BD7" w:rsidRDefault="00095F74" w:rsidP="00095F7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3A7F733" w14:textId="6E98AFAF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2D6587DB" w14:textId="77777777" w:rsidTr="00047D9D">
        <w:tc>
          <w:tcPr>
            <w:tcW w:w="2545" w:type="dxa"/>
          </w:tcPr>
          <w:p w14:paraId="1BB7F532" w14:textId="4D4CC0BE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7B464EBC" w14:textId="0B661350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3477EC0" w14:textId="6D1F4E7A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</w:tcPr>
          <w:p w14:paraId="78D680B6" w14:textId="06F1E1F0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5814B4B6" w14:textId="769DCBC5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6076E312" w14:textId="77777777" w:rsidTr="00047D9D">
        <w:tc>
          <w:tcPr>
            <w:tcW w:w="2545" w:type="dxa"/>
          </w:tcPr>
          <w:p w14:paraId="2B1998F4" w14:textId="575C0D17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Rozmiar udostępnionych on-line informacji sektora publicznego</w:t>
            </w:r>
          </w:p>
        </w:tc>
        <w:tc>
          <w:tcPr>
            <w:tcW w:w="1278" w:type="dxa"/>
          </w:tcPr>
          <w:p w14:paraId="100D8B8E" w14:textId="016F0499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2AF81ED" w14:textId="5510D8D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14,77</w:t>
            </w:r>
          </w:p>
        </w:tc>
        <w:tc>
          <w:tcPr>
            <w:tcW w:w="1701" w:type="dxa"/>
          </w:tcPr>
          <w:p w14:paraId="52185BE8" w14:textId="6C626632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0B8AA209" w14:textId="690BBEF2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3FD42E01" w14:textId="77777777" w:rsidTr="00047D9D">
        <w:tc>
          <w:tcPr>
            <w:tcW w:w="2545" w:type="dxa"/>
          </w:tcPr>
          <w:p w14:paraId="25159D1D" w14:textId="392925F7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93924D2" w14:textId="68663F87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30466A7A" w14:textId="35A00598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86F8A29" w14:textId="1EE390B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A141772" w14:textId="5703731B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D07BD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07BD7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D07BD7">
        <w:rPr>
          <w:rFonts w:ascii="Arial" w:hAnsi="Arial" w:cs="Arial"/>
          <w:color w:val="auto"/>
          <w:sz w:val="20"/>
          <w:szCs w:val="20"/>
        </w:rPr>
        <w:t>&lt;</w:t>
      </w:r>
      <w:r w:rsidR="00B41415" w:rsidRPr="00D07BD7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D07BD7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D07BD7" w:rsidRPr="00D07BD7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07BD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D07BD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7BD7" w:rsidRPr="00D07BD7" w14:paraId="280C6A44" w14:textId="77777777" w:rsidTr="00517F12">
        <w:tc>
          <w:tcPr>
            <w:tcW w:w="2937" w:type="dxa"/>
          </w:tcPr>
          <w:p w14:paraId="732F9DD7" w14:textId="77777777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Dostęp do danych administracji morskiej – wyszukiwanie i</w:t>
            </w:r>
          </w:p>
          <w:p w14:paraId="04C73CAB" w14:textId="77777777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Pobieranie danych</w:t>
            </w:r>
          </w:p>
          <w:p w14:paraId="246B8107" w14:textId="6A6F0D76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(usługi realizowane przede wszystkim przez standardy: WMS, WMTS, WFS, CSW)</w:t>
            </w:r>
          </w:p>
        </w:tc>
        <w:tc>
          <w:tcPr>
            <w:tcW w:w="1169" w:type="dxa"/>
          </w:tcPr>
          <w:p w14:paraId="4B41BCA3" w14:textId="2BED7AB3" w:rsidR="00F07774" w:rsidRPr="00D07BD7" w:rsidRDefault="00F07774" w:rsidP="00766566">
            <w:pPr>
              <w:rPr>
                <w:rFonts w:cs="Arial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66566" w:rsidRPr="00D07BD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134" w:type="dxa"/>
          </w:tcPr>
          <w:p w14:paraId="33EEA3EA" w14:textId="77777777" w:rsidR="00F07774" w:rsidRPr="00D07BD7" w:rsidRDefault="00F07774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51314A8" w14:textId="62B2D8DE" w:rsidR="00F07774" w:rsidRPr="00D07BD7" w:rsidRDefault="00F0777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D07BD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D07BD7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D07BD7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D07BD7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4248"/>
        <w:gridCol w:w="1701"/>
        <w:gridCol w:w="1843"/>
        <w:gridCol w:w="1842"/>
      </w:tblGrid>
      <w:tr w:rsidR="00D07BD7" w:rsidRPr="00D07BD7" w14:paraId="7ED4D618" w14:textId="77777777" w:rsidTr="00D50D7D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07BD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7BD7" w:rsidRPr="00D07BD7" w14:paraId="23D46142" w14:textId="77777777" w:rsidTr="00D50D7D">
        <w:tc>
          <w:tcPr>
            <w:tcW w:w="4248" w:type="dxa"/>
          </w:tcPr>
          <w:p w14:paraId="34A2AE74" w14:textId="1EE57B1F" w:rsidR="00F21CCC" w:rsidRPr="00D07BD7" w:rsidRDefault="00F21CCC" w:rsidP="00F21CCC">
            <w:pPr>
              <w:ind w:left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Rodzaj i liczbę zbiorów objętych projektem 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(w zakresie zbiorów do udostępnienia jak i zbiorów do digitalizacji) </w:t>
            </w:r>
            <w:r w:rsidRPr="00D07BD7">
              <w:rPr>
                <w:rFonts w:ascii="Arial" w:hAnsi="Arial" w:cs="Arial"/>
                <w:sz w:val="18"/>
                <w:szCs w:val="20"/>
              </w:rPr>
              <w:t>określono w wyniku przeprowadzonej inwentaryzacji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 xml:space="preserve"> danych administracji morskiej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 na etapie opracowania Studium Wykonalności dla projektu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 xml:space="preserve">. Aktualnie żaden ze zbiorów wymienionych w 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poniższym 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>zestawieniu nie jest kompleksowo udostępniany publicznie wraz z danymi przestrzennymi.</w:t>
            </w:r>
          </w:p>
          <w:p w14:paraId="3A059ED1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zamknięte dla żeglugi i rybołówstwa.</w:t>
            </w:r>
          </w:p>
          <w:p w14:paraId="04AA812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niebezpieczne dla żeglugi i rybołówstwa (wraz z określeniem terminów uznania strefy za niebezpieczną).</w:t>
            </w:r>
          </w:p>
          <w:p w14:paraId="1C28BA96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System rozgraniczenia ruchu statków.</w:t>
            </w:r>
          </w:p>
          <w:p w14:paraId="618AE00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Ustanowione trasy przepływu i drogi morskie.</w:t>
            </w:r>
          </w:p>
          <w:p w14:paraId="27C1A76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morskich wód wewnętrznych.</w:t>
            </w:r>
          </w:p>
          <w:p w14:paraId="4B4067CC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morza terytorialnego RP.</w:t>
            </w:r>
          </w:p>
          <w:p w14:paraId="00DAD23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Wyłącznej Strefy Ekonomicznej RP.</w:t>
            </w:r>
          </w:p>
          <w:p w14:paraId="65BFE21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morskiej strefy przyległej RP.</w:t>
            </w:r>
          </w:p>
          <w:p w14:paraId="0D51A98F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bezpieczeństwa wokół sztucznych wysp, konstrukcji i urządzeń ustanowione przez urząd morski.</w:t>
            </w:r>
          </w:p>
          <w:p w14:paraId="10E2950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Lokalizacja pozwoleń na inwestycje w polskich obszarach morskich.</w:t>
            </w:r>
          </w:p>
          <w:p w14:paraId="5F7C5C0D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Osie podmorskich kabli i rurociągów.</w:t>
            </w:r>
          </w:p>
          <w:p w14:paraId="40E43A23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Wraki statków w polskich obszarach morskich oraz inne obiekty zabytkowe.</w:t>
            </w:r>
          </w:p>
          <w:p w14:paraId="0E971B46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pasa nadbrzeżnego (pas techniczny i pas ochronny).</w:t>
            </w:r>
          </w:p>
          <w:p w14:paraId="55FDF5A4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zakresu działania dyrektorów urzędów morskich.</w:t>
            </w:r>
          </w:p>
          <w:p w14:paraId="0AC56AAD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portów i ich red.</w:t>
            </w:r>
          </w:p>
          <w:p w14:paraId="529A170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przystani morskich, kotwicowisk.</w:t>
            </w:r>
          </w:p>
          <w:p w14:paraId="7C718F5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Obiekty infrastruktury zapewniające dostęp do portów i przystani.</w:t>
            </w:r>
          </w:p>
          <w:p w14:paraId="2B95518E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Tory podejściowe.</w:t>
            </w:r>
          </w:p>
          <w:p w14:paraId="1A6670C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Kilometraż wybrzeża morskiego.</w:t>
            </w:r>
          </w:p>
          <w:p w14:paraId="6700707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Numeracja wejść na plażę.</w:t>
            </w:r>
          </w:p>
          <w:p w14:paraId="16E80CC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Plany ochrony przyrody Natura 2000 na obszarach morskich.</w:t>
            </w:r>
          </w:p>
          <w:p w14:paraId="5F3E1B6F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brzegu.</w:t>
            </w:r>
          </w:p>
          <w:p w14:paraId="6CAF4A90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podstawowa.</w:t>
            </w:r>
          </w:p>
          <w:p w14:paraId="1BCC5CF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Graniczna linia ochrony – z rozporządzenia.</w:t>
            </w:r>
          </w:p>
          <w:p w14:paraId="0A1743E1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Odcinki brzegu objęte programem ochrony brzegów morskich.</w:t>
            </w:r>
          </w:p>
          <w:p w14:paraId="3993C18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batymetryczne.</w:t>
            </w:r>
          </w:p>
          <w:p w14:paraId="7474AAD0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z systemu LIDAR</w:t>
            </w:r>
          </w:p>
          <w:p w14:paraId="3AC9EC0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Ortofotomapy.</w:t>
            </w:r>
          </w:p>
          <w:p w14:paraId="6F712CD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wykorzystanie terenów położonych w granicach pasa technicznego do celów innych niż utrzymanie brzegu w stanie zgodnym z wymogami bezpieczeństwa i ochrony środowiska (art. 37 ust 1 ustawy o obszarach morskich i administracji morskiej RP).</w:t>
            </w:r>
          </w:p>
          <w:p w14:paraId="63D26C47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zwolnienie z zakazów określonych w art. 88 l Prawa Wodnego (w brzmieniu obowiązującym do końca 2017 roku).</w:t>
            </w:r>
          </w:p>
          <w:p w14:paraId="1A90CBE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Umowy użytkowania.</w:t>
            </w:r>
          </w:p>
          <w:p w14:paraId="3FEBADF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Decyzje o trwałym zarządzie Wm (wody morskie)</w:t>
            </w:r>
          </w:p>
          <w:p w14:paraId="4F7DD464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Decyzje o trwałym zarządzie ląd</w:t>
            </w:r>
          </w:p>
          <w:p w14:paraId="2949DD3E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 Urządzenia Lasu Urzędów Morskich.</w:t>
            </w:r>
          </w:p>
          <w:p w14:paraId="47018482" w14:textId="0E56FBC6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</w:tcPr>
          <w:p w14:paraId="24C3FAF1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CEB2473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13E2421F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A0F59EE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9F9E1EA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25CC1C6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B8294C2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4B91A96C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E1D70FF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A84BB88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111B2288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590871E1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405A09A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56EF01F2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A2A7E20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B3569F7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0B2F087E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0455655" w14:textId="51ABE81B" w:rsidR="00F07774" w:rsidRPr="008F0C2B" w:rsidRDefault="00D50D7D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 w:rsidRPr="008F0C2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43" w:type="dxa"/>
          </w:tcPr>
          <w:p w14:paraId="1F0DC2F6" w14:textId="77777777" w:rsidR="00F07774" w:rsidRPr="00D07BD7" w:rsidRDefault="00F07774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1842" w:type="dxa"/>
          </w:tcPr>
          <w:p w14:paraId="6DFD272A" w14:textId="77777777" w:rsidR="00F07774" w:rsidRPr="00D07BD7" w:rsidRDefault="00F0777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D07BD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07BD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07BD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07BD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07BD7">
        <w:rPr>
          <w:rFonts w:ascii="Arial" w:hAnsi="Arial" w:cs="Arial"/>
          <w:color w:val="auto"/>
        </w:rPr>
        <w:t xml:space="preserve"> </w:t>
      </w:r>
      <w:r w:rsidR="00B41415" w:rsidRPr="00D07BD7">
        <w:rPr>
          <w:rFonts w:ascii="Arial" w:hAnsi="Arial" w:cs="Arial"/>
          <w:color w:val="auto"/>
          <w:sz w:val="20"/>
          <w:szCs w:val="18"/>
        </w:rPr>
        <w:t>&lt;maksymalnie 20</w:t>
      </w:r>
      <w:r w:rsidRPr="00D07BD7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D07BD7" w:rsidRPr="00D07BD7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07BD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07BD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7BD7" w:rsidRPr="00D07BD7" w14:paraId="50A66C72" w14:textId="77777777" w:rsidTr="009E747E">
        <w:tc>
          <w:tcPr>
            <w:tcW w:w="2547" w:type="dxa"/>
          </w:tcPr>
          <w:p w14:paraId="20B36869" w14:textId="7FA047F4" w:rsidR="00A86449" w:rsidRPr="00D07BD7" w:rsidRDefault="00787EE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</w:rPr>
              <w:t>System Informacji Przestrzennej Administracji Morskiej (SIPAM)</w:t>
            </w:r>
          </w:p>
        </w:tc>
        <w:tc>
          <w:tcPr>
            <w:tcW w:w="1701" w:type="dxa"/>
          </w:tcPr>
          <w:p w14:paraId="1DB94B1B" w14:textId="73F2804A" w:rsidR="00A86449" w:rsidRPr="008F0C2B" w:rsidRDefault="00A53FE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6882FECF" w14:textId="668F33C7" w:rsidR="004C1D48" w:rsidRPr="00D07BD7" w:rsidRDefault="00D50D7D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85C120E" w14:textId="1D28DCDB" w:rsidR="004C1D48" w:rsidRPr="00D07BD7" w:rsidRDefault="001E4F0D" w:rsidP="001E4F0D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Geoportal2. Opracowanie cyfrowych, spójnych i zharmonizowanych zbiorów danych przestrzennych administracji morskiej, umożliwi włączenie ich i udostępnienie w Geoportalu, za pomocą usług OGC. Urzędy Morskie przekazują Głównemu Geodecie Kraju posiadane informacje i zbiory danych przestrzennych dotyczące przebiegu granic: pasa technicznego, pasa ochronnego, pasa nadbrzeżnego, portów, przystani morskich, red, morskiej linii brzegowej, linii podstawowej morza terytorialnego, morza terytorialnego, wyłącznej strefy ekonomicznej, morskich wód wewnętrznych. Dzięki produktom projektu SIPAM: opracowaniu zharmonizowanych zbiorów danych, utworzeniu interfejsów programistycznych (API) możliwa będzie aktualizacja on-line danych rejestru publicznego PRG, czyli ponowne ich wykorzystanie, a następnie publikacja aktualnych danych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>na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geoportal.gov.pl </w:t>
            </w:r>
          </w:p>
          <w:p w14:paraId="43CDFE6D" w14:textId="19242BAC" w:rsidR="008E4D24" w:rsidRPr="00D07BD7" w:rsidRDefault="008E4D24" w:rsidP="0012005B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Projekt SIPAM będzie także komplementarny z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>opracowywanym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przez administrację morską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rojektem planu zagospo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lastRenderedPageBreak/>
              <w:t>daro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wania przestrzennego p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olskich obsza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rów m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or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skich w skali 1 : 200 000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. Projekt SIPAM zapewni dostęp do aktualnych danych referencyjnych, które będą wspierać podejmowanie właściwych decyzji planistycznych. Po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 xml:space="preserve">opracowaniu morskiego planu zagospodarowania przestrzennego, </w:t>
            </w:r>
            <w:r w:rsidRPr="00D07BD7">
              <w:rPr>
                <w:rFonts w:ascii="Arial" w:hAnsi="Arial" w:cs="Arial"/>
                <w:sz w:val="18"/>
                <w:szCs w:val="18"/>
              </w:rPr>
              <w:t>usługi zapewniające dostęp do rozstrzygnięć planu zostaną włączone do systemu informacji przestrzennej SIPAM, co zwiększy ich dostępność (możliwość szybkiej lokalizacji) i możliwość ponownego ich wykorzystania ("re-use").</w:t>
            </w:r>
          </w:p>
        </w:tc>
      </w:tr>
      <w:tr w:rsidR="00D07BD7" w:rsidRPr="00D07BD7" w14:paraId="41A6864C" w14:textId="77777777" w:rsidTr="00DE1B02">
        <w:trPr>
          <w:trHeight w:val="1325"/>
        </w:trPr>
        <w:tc>
          <w:tcPr>
            <w:tcW w:w="2547" w:type="dxa"/>
          </w:tcPr>
          <w:p w14:paraId="0CFCC020" w14:textId="403CA96C" w:rsidR="00787EE6" w:rsidRPr="00D07BD7" w:rsidRDefault="00787EE6" w:rsidP="00787EE6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API</w:t>
            </w:r>
          </w:p>
        </w:tc>
        <w:tc>
          <w:tcPr>
            <w:tcW w:w="1701" w:type="dxa"/>
          </w:tcPr>
          <w:p w14:paraId="57633ECD" w14:textId="18957CB8" w:rsidR="00787EE6" w:rsidRPr="008F0C2B" w:rsidRDefault="00A53FE7" w:rsidP="00787EE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156D1AA3" w14:textId="6CD38A79" w:rsidR="00787EE6" w:rsidRPr="00D07BD7" w:rsidRDefault="00787EE6" w:rsidP="00787EE6">
            <w:pPr>
              <w:rPr>
                <w:rFonts w:cs="Arial"/>
                <w:lang w:eastAsia="pl-PL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5A3A2BA" w14:textId="307AA71F" w:rsidR="00787EE6" w:rsidRPr="00D07BD7" w:rsidRDefault="005E7606" w:rsidP="00DE1B02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Ułatwienie (zwiększenie) dostępu do informacji sektora publicznego (ISP) i ich ponownego wykorzystania nastąpi także za pomocą interfejsów programistycznych (API). API umożliwi </w:t>
            </w:r>
            <w:r w:rsidR="00DE1B02" w:rsidRPr="00D07BD7">
              <w:rPr>
                <w:rFonts w:ascii="Arial" w:hAnsi="Arial" w:cs="Arial"/>
                <w:sz w:val="18"/>
                <w:szCs w:val="18"/>
              </w:rPr>
              <w:t xml:space="preserve">systemom zewnętrznym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dostęp do danych aplikacji. </w:t>
            </w:r>
          </w:p>
        </w:tc>
      </w:tr>
    </w:tbl>
    <w:p w14:paraId="2AC8CEEF" w14:textId="73D2E2F8" w:rsidR="00BB059E" w:rsidRPr="00D07BD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07BD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07BD7">
        <w:rPr>
          <w:rFonts w:ascii="Arial" w:hAnsi="Arial" w:cs="Arial"/>
        </w:rPr>
        <w:t xml:space="preserve"> </w:t>
      </w:r>
      <w:r w:rsidR="00B41415" w:rsidRPr="00D07BD7">
        <w:rPr>
          <w:rFonts w:ascii="Arial" w:hAnsi="Arial" w:cs="Arial"/>
        </w:rPr>
        <w:t xml:space="preserve"> </w:t>
      </w:r>
      <w:r w:rsidR="00DA34DF" w:rsidRPr="00D07BD7">
        <w:rPr>
          <w:rFonts w:ascii="Arial" w:hAnsi="Arial" w:cs="Arial"/>
          <w:sz w:val="20"/>
          <w:szCs w:val="20"/>
        </w:rPr>
        <w:t>&lt;</w:t>
      </w:r>
      <w:r w:rsidR="00B41415" w:rsidRPr="00D07BD7">
        <w:rPr>
          <w:rFonts w:ascii="Arial" w:hAnsi="Arial" w:cs="Arial"/>
          <w:sz w:val="20"/>
          <w:szCs w:val="20"/>
        </w:rPr>
        <w:t>maksymalnie 20</w:t>
      </w:r>
      <w:r w:rsidR="00DA34DF" w:rsidRPr="00D07BD7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D07BD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D07BD7" w:rsidRPr="00D07BD7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07BD7" w:rsidRPr="00D07BD7" w14:paraId="21703F85" w14:textId="77777777" w:rsidTr="009E747E">
        <w:tc>
          <w:tcPr>
            <w:tcW w:w="3265" w:type="dxa"/>
            <w:vAlign w:val="bottom"/>
          </w:tcPr>
          <w:p w14:paraId="149B3B2A" w14:textId="26E7FD4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nieefektywnego zarządzania projektem</w:t>
            </w:r>
          </w:p>
        </w:tc>
        <w:tc>
          <w:tcPr>
            <w:tcW w:w="1697" w:type="dxa"/>
            <w:vAlign w:val="bottom"/>
          </w:tcPr>
          <w:p w14:paraId="22397F32" w14:textId="6D98857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2D158D7" w14:textId="2C7E25A1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0449E203" w14:textId="14D90448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zmiana składu zespołu roboczego/ nagradzanie członków zespołu za efektywne zarządzanie projektem (działanie profilaktyczne)</w:t>
            </w:r>
          </w:p>
        </w:tc>
      </w:tr>
      <w:tr w:rsidR="00D07BD7" w:rsidRPr="00D07BD7" w14:paraId="2D4CB487" w14:textId="77777777" w:rsidTr="009E747E">
        <w:tc>
          <w:tcPr>
            <w:tcW w:w="3265" w:type="dxa"/>
            <w:vAlign w:val="bottom"/>
          </w:tcPr>
          <w:p w14:paraId="7FAE4E4A" w14:textId="2CEB9FD9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opóźnienia wykonywania poszczególnych etapów projektu</w:t>
            </w:r>
          </w:p>
        </w:tc>
        <w:tc>
          <w:tcPr>
            <w:tcW w:w="1697" w:type="dxa"/>
            <w:vAlign w:val="bottom"/>
          </w:tcPr>
          <w:p w14:paraId="5CFE7806" w14:textId="03248770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294F63DC" w14:textId="1D6DA81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65B6B50E" w14:textId="6485EE8F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nałożenie kary finansowej dla podwykonawców odpowiedzialnych za opóźnienie projektu / zmiana podwykonawcy / tolerancja (w przypadku małych opóźnień nie zagrażających realizacji celów ogólnych</w:t>
            </w:r>
          </w:p>
        </w:tc>
      </w:tr>
      <w:tr w:rsidR="00D07BD7" w:rsidRPr="00D07BD7" w14:paraId="63490B5B" w14:textId="77777777" w:rsidTr="009E747E">
        <w:tc>
          <w:tcPr>
            <w:tcW w:w="3265" w:type="dxa"/>
            <w:vAlign w:val="bottom"/>
          </w:tcPr>
          <w:p w14:paraId="4B0F148E" w14:textId="66601D9F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wadliwego / niezgodnego ze specyfikacją działania systemów teleinformatycznych objętych projektem</w:t>
            </w:r>
          </w:p>
        </w:tc>
        <w:tc>
          <w:tcPr>
            <w:tcW w:w="1697" w:type="dxa"/>
            <w:vAlign w:val="bottom"/>
          </w:tcPr>
          <w:p w14:paraId="1C947BD5" w14:textId="7B08A80B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075F519B" w14:textId="2092E09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6ECA55C3" w14:textId="011DCAD4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nałożenie kary finansowej dla podwykonawców odpowiedzialnych za opóźnienie projektu / zmiana podwykonawcy</w:t>
            </w:r>
          </w:p>
        </w:tc>
      </w:tr>
      <w:tr w:rsidR="00D07BD7" w:rsidRPr="00D07BD7" w14:paraId="0DFBA2C5" w14:textId="77777777" w:rsidTr="009E747E">
        <w:tc>
          <w:tcPr>
            <w:tcW w:w="3265" w:type="dxa"/>
            <w:vAlign w:val="bottom"/>
          </w:tcPr>
          <w:p w14:paraId="04458318" w14:textId="105D5C25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Awaria elementów systemu teleinformatycznego spowodowana czynnikami niezależnymi</w:t>
            </w:r>
          </w:p>
        </w:tc>
        <w:tc>
          <w:tcPr>
            <w:tcW w:w="1697" w:type="dxa"/>
            <w:vAlign w:val="bottom"/>
          </w:tcPr>
          <w:p w14:paraId="79C2EBCF" w14:textId="708E5B7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45DD57F7" w14:textId="60C9CE73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57846AA2" w14:textId="6EFAE98D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wprowadzenie działań zapobiegawczych na etapie realizacji projektu - ubezpieczenie sprzętu i serwerowni (uwzględnione w kosztach operacyjnych projektu w SW)</w:t>
            </w:r>
          </w:p>
        </w:tc>
      </w:tr>
      <w:tr w:rsidR="00D07BD7" w:rsidRPr="00D07BD7" w14:paraId="79CCA993" w14:textId="77777777" w:rsidTr="009E747E">
        <w:tc>
          <w:tcPr>
            <w:tcW w:w="3265" w:type="dxa"/>
            <w:vAlign w:val="bottom"/>
          </w:tcPr>
          <w:p w14:paraId="687FD1C6" w14:textId="68A4A2D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posiadania odpowiednich kompetencji w zakresie koordynowania projektem</w:t>
            </w:r>
          </w:p>
        </w:tc>
        <w:tc>
          <w:tcPr>
            <w:tcW w:w="1697" w:type="dxa"/>
            <w:vAlign w:val="bottom"/>
          </w:tcPr>
          <w:p w14:paraId="0A9F7BB0" w14:textId="3D0D9CD6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2358D1DA" w14:textId="1E92A634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2177538A" w14:textId="2ADEAB74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</w:p>
        </w:tc>
      </w:tr>
      <w:tr w:rsidR="00D07BD7" w:rsidRPr="00D07BD7" w14:paraId="40725C68" w14:textId="77777777" w:rsidTr="009E747E">
        <w:tc>
          <w:tcPr>
            <w:tcW w:w="3265" w:type="dxa"/>
            <w:vAlign w:val="bottom"/>
          </w:tcPr>
          <w:p w14:paraId="3B926171" w14:textId="0F07590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zmiany składu osobowego zespołu roboczego</w:t>
            </w:r>
          </w:p>
        </w:tc>
        <w:tc>
          <w:tcPr>
            <w:tcW w:w="1697" w:type="dxa"/>
            <w:vAlign w:val="bottom"/>
          </w:tcPr>
          <w:p w14:paraId="79B0FB66" w14:textId="7B4861EC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A95F9C" w14:textId="1F4B9D49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1DC59859" w14:textId="3B644F71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</w:p>
        </w:tc>
      </w:tr>
      <w:tr w:rsidR="00D07BD7" w:rsidRPr="00D07BD7" w14:paraId="1EF7AD6E" w14:textId="77777777" w:rsidTr="009E747E">
        <w:tc>
          <w:tcPr>
            <w:tcW w:w="3265" w:type="dxa"/>
            <w:vAlign w:val="bottom"/>
          </w:tcPr>
          <w:p w14:paraId="7E4FE5F5" w14:textId="27EE923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Wzrost kosztów Projektu w stosunku do planu</w:t>
            </w:r>
          </w:p>
        </w:tc>
        <w:tc>
          <w:tcPr>
            <w:tcW w:w="1697" w:type="dxa"/>
            <w:vAlign w:val="bottom"/>
          </w:tcPr>
          <w:p w14:paraId="5A35E296" w14:textId="450A2F09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604274A0" w14:textId="4103E6EA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  <w:vAlign w:val="bottom"/>
          </w:tcPr>
          <w:p w14:paraId="7080F9AF" w14:textId="124874C6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Przeprowadzenie postępowań przetargowych z udziałem możliwie dużej liczby oferentów, precyzyjne określenie zakresu prac w ramach projektu, wykorzystanie rozwiązań Open Source.</w:t>
            </w:r>
          </w:p>
        </w:tc>
      </w:tr>
      <w:tr w:rsidR="00D07BD7" w:rsidRPr="00D07BD7" w14:paraId="2EB50A4A" w14:textId="77777777" w:rsidTr="009E747E">
        <w:tc>
          <w:tcPr>
            <w:tcW w:w="3265" w:type="dxa"/>
            <w:vAlign w:val="bottom"/>
          </w:tcPr>
          <w:p w14:paraId="1EC51C5F" w14:textId="066B544C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odpowiednich zasobów po stronie użytkowników końcowych SIPAM</w:t>
            </w:r>
          </w:p>
        </w:tc>
        <w:tc>
          <w:tcPr>
            <w:tcW w:w="1697" w:type="dxa"/>
            <w:vAlign w:val="bottom"/>
          </w:tcPr>
          <w:p w14:paraId="0ADE1FF6" w14:textId="531DBD2B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067CE3BB" w14:textId="46E6CB9E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00393BBA" w14:textId="00B497C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zidentyfikowanie stanu zasobów osobowych administracji morskiej, które będą użytkownikami systemu, zdefiniowanie planu szkoleń dla użytkowników systemu.</w:t>
            </w:r>
          </w:p>
        </w:tc>
      </w:tr>
      <w:tr w:rsidR="00D07BD7" w:rsidRPr="00D07BD7" w14:paraId="6AFAA2C2" w14:textId="77777777" w:rsidTr="009E747E">
        <w:tc>
          <w:tcPr>
            <w:tcW w:w="3265" w:type="dxa"/>
            <w:vAlign w:val="bottom"/>
          </w:tcPr>
          <w:p w14:paraId="79F28A36" w14:textId="5E8D89B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przyjęcia nieprawidłowych założeń wynikające z braku kompletnej wiedzy na etapie przygotowania SW</w:t>
            </w:r>
          </w:p>
        </w:tc>
        <w:tc>
          <w:tcPr>
            <w:tcW w:w="1697" w:type="dxa"/>
            <w:vAlign w:val="bottom"/>
          </w:tcPr>
          <w:p w14:paraId="68AD3E50" w14:textId="06C95431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593C7746" w14:textId="7D2005DB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7FB8AE10" w14:textId="2B2FDB47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Precyzyjne opisanie wymagań systemu SIPAM w SIWZ zabezpieczy interesy administracji morskiej w stosunku do niezbędnych standardów technologicznych, funkcjonalności oraz bezpieczeństwa systemu.</w:t>
            </w:r>
          </w:p>
        </w:tc>
      </w:tr>
      <w:tr w:rsidR="00D07BD7" w:rsidRPr="00D07BD7" w14:paraId="7E8A01DB" w14:textId="77777777" w:rsidTr="009E747E">
        <w:tc>
          <w:tcPr>
            <w:tcW w:w="3265" w:type="dxa"/>
            <w:vAlign w:val="bottom"/>
          </w:tcPr>
          <w:p w14:paraId="2C42CB90" w14:textId="52B5549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przekroczenia harmonogramu w wyniku trudności w prowadzeniu postępowań przetargowych</w:t>
            </w:r>
            <w:r w:rsidR="00D66E07">
              <w:rPr>
                <w:rFonts w:ascii="Arial" w:hAnsi="Arial" w:cs="Arial"/>
                <w:sz w:val="18"/>
                <w:szCs w:val="20"/>
              </w:rPr>
              <w:t xml:space="preserve"> (zamknięte)</w:t>
            </w:r>
          </w:p>
        </w:tc>
        <w:tc>
          <w:tcPr>
            <w:tcW w:w="1697" w:type="dxa"/>
            <w:vAlign w:val="bottom"/>
          </w:tcPr>
          <w:p w14:paraId="19881A1F" w14:textId="5723FED5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5EE3B1" w14:textId="2021B89C" w:rsidR="00F329E6" w:rsidRPr="00D07BD7" w:rsidRDefault="00E7176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bottom"/>
          </w:tcPr>
          <w:p w14:paraId="7451BB43" w14:textId="65FC03C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zaplanowanie postępowań przetargowych, w tym określenie liczby niezbędnych postępowań, czasu potrzebnego na przeprowadzenie każdego z nich oraz jego kosztu. Utworzenie rezerw czasowych i budżetowych związanych z postępowaniami przetargowymi.</w:t>
            </w:r>
          </w:p>
        </w:tc>
      </w:tr>
      <w:tr w:rsidR="00D07BD7" w:rsidRPr="00D07BD7" w14:paraId="32B9103F" w14:textId="77777777" w:rsidTr="009E747E">
        <w:tc>
          <w:tcPr>
            <w:tcW w:w="3265" w:type="dxa"/>
            <w:vAlign w:val="bottom"/>
          </w:tcPr>
          <w:p w14:paraId="0F762CF7" w14:textId="521C988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nieodpowiedniego zabezpieczenia danych wrażliwych</w:t>
            </w:r>
          </w:p>
        </w:tc>
        <w:tc>
          <w:tcPr>
            <w:tcW w:w="1697" w:type="dxa"/>
            <w:vAlign w:val="bottom"/>
          </w:tcPr>
          <w:p w14:paraId="43A7C3B1" w14:textId="77ACA6CD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60B2D7A" w14:textId="6642123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45DC626F" w14:textId="102A4F4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Przyjęcie w projekcie SIPAM optymalnych rozwiązań dotyczących zabezpieczenia danych oraz przewidzenie możliwości modernizacji mechanizmów bezpieczeństwa bez konieczności szerokiej ingerencji w konstrukcję rozwiązania. Wdrożenie w ramach Projektu odpowiednich polityk i procedur zarządzania dostępem do danych wrażliwych.</w:t>
            </w:r>
          </w:p>
        </w:tc>
      </w:tr>
    </w:tbl>
    <w:p w14:paraId="409CCC0F" w14:textId="77777777" w:rsidR="003B633E" w:rsidRDefault="003B633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D07BD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D07BD7" w:rsidRPr="00D07BD7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D07BD7" w:rsidRDefault="0091332C" w:rsidP="009E747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07BD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07BD7" w:rsidRPr="00D07BD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9AF3B8A" w:rsidR="0091332C" w:rsidRPr="00D07BD7" w:rsidRDefault="0091332C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0D365D8A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6E960B24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7A5D7673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37D37CF" w14:textId="6AA71FD7" w:rsidR="0091332C" w:rsidRPr="00D07BD7" w:rsidRDefault="00A53FE7" w:rsidP="00141A92">
      <w:pPr>
        <w:spacing w:before="240" w:after="120"/>
        <w:rPr>
          <w:rFonts w:ascii="Arial" w:hAnsi="Arial" w:cs="Arial"/>
        </w:rPr>
      </w:pPr>
      <w:r w:rsidRPr="00D07BD7">
        <w:rPr>
          <w:rFonts w:ascii="Arial" w:hAnsi="Arial" w:cs="Arial"/>
          <w:sz w:val="18"/>
          <w:szCs w:val="20"/>
        </w:rPr>
        <w:t>Brak na tym etapie realizacji.</w:t>
      </w:r>
    </w:p>
    <w:p w14:paraId="0FA2F07F" w14:textId="7F97B73C" w:rsidR="00BB059E" w:rsidRPr="00D07BD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D07BD7">
        <w:rPr>
          <w:rFonts w:ascii="Arial" w:hAnsi="Arial" w:cs="Arial"/>
          <w:b/>
        </w:rPr>
        <w:t xml:space="preserve"> </w:t>
      </w:r>
      <w:r w:rsidR="00550C19" w:rsidRPr="00D07BD7">
        <w:rPr>
          <w:rFonts w:ascii="Arial" w:hAnsi="Arial" w:cs="Arial"/>
          <w:sz w:val="18"/>
        </w:rPr>
        <w:t xml:space="preserve">Kamil Rybka, Departament Gospodarki Morskiej, </w:t>
      </w:r>
      <w:hyperlink r:id="rId8" w:history="1">
        <w:r w:rsidR="00550C19" w:rsidRPr="00D07BD7">
          <w:rPr>
            <w:rStyle w:val="Hipercze"/>
            <w:rFonts w:ascii="Arial" w:hAnsi="Arial" w:cs="Arial"/>
            <w:color w:val="auto"/>
            <w:sz w:val="18"/>
          </w:rPr>
          <w:t>Kamil.Rybka@mgm.gov.pl</w:t>
        </w:r>
      </w:hyperlink>
      <w:r w:rsidR="00550C19" w:rsidRPr="00D07BD7">
        <w:rPr>
          <w:rFonts w:ascii="Arial" w:hAnsi="Arial" w:cs="Arial"/>
          <w:sz w:val="18"/>
        </w:rPr>
        <w:t xml:space="preserve">, </w:t>
      </w:r>
      <w:r w:rsidR="00550C19" w:rsidRPr="00D07BD7">
        <w:rPr>
          <w:rFonts w:ascii="Arial" w:hAnsi="Arial" w:cs="Arial"/>
          <w:sz w:val="18"/>
        </w:rPr>
        <w:br/>
        <w:t xml:space="preserve">Tel. (22) 583-58-68 </w:t>
      </w:r>
    </w:p>
    <w:sectPr w:rsidR="00BB059E" w:rsidRPr="00D07BD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61A59" w14:textId="77777777" w:rsidR="00F25B81" w:rsidRDefault="00F25B81" w:rsidP="00BB2420">
      <w:pPr>
        <w:spacing w:after="0" w:line="240" w:lineRule="auto"/>
      </w:pPr>
      <w:r>
        <w:separator/>
      </w:r>
    </w:p>
  </w:endnote>
  <w:endnote w:type="continuationSeparator" w:id="0">
    <w:p w14:paraId="2F3111D4" w14:textId="77777777" w:rsidR="00F25B81" w:rsidRDefault="00F25B8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36300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A9CDAF" w14:textId="5B45244C" w:rsidR="00C84A83" w:rsidRDefault="00C84A8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28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2814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C84A83" w:rsidRDefault="00C84A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26380" w14:textId="77777777" w:rsidR="00F25B81" w:rsidRDefault="00F25B81" w:rsidP="00BB2420">
      <w:pPr>
        <w:spacing w:after="0" w:line="240" w:lineRule="auto"/>
      </w:pPr>
      <w:r>
        <w:separator/>
      </w:r>
    </w:p>
  </w:footnote>
  <w:footnote w:type="continuationSeparator" w:id="0">
    <w:p w14:paraId="5713CAE5" w14:textId="77777777" w:rsidR="00F25B81" w:rsidRDefault="00F25B8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84A83" w:rsidRDefault="00C84A8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F65FE"/>
    <w:multiLevelType w:val="multilevel"/>
    <w:tmpl w:val="00448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F10"/>
    <w:rsid w:val="00003CB0"/>
    <w:rsid w:val="00006E59"/>
    <w:rsid w:val="000167A9"/>
    <w:rsid w:val="00034D77"/>
    <w:rsid w:val="00043DD9"/>
    <w:rsid w:val="00044D68"/>
    <w:rsid w:val="00047D9D"/>
    <w:rsid w:val="000651D8"/>
    <w:rsid w:val="00070663"/>
    <w:rsid w:val="000745E0"/>
    <w:rsid w:val="00084E5B"/>
    <w:rsid w:val="00087231"/>
    <w:rsid w:val="00095944"/>
    <w:rsid w:val="00095F74"/>
    <w:rsid w:val="000A1DFB"/>
    <w:rsid w:val="000A2F32"/>
    <w:rsid w:val="000A3938"/>
    <w:rsid w:val="000B3E49"/>
    <w:rsid w:val="000C610D"/>
    <w:rsid w:val="000C74D2"/>
    <w:rsid w:val="000D2A8B"/>
    <w:rsid w:val="000D2DFB"/>
    <w:rsid w:val="000E0021"/>
    <w:rsid w:val="000E0060"/>
    <w:rsid w:val="000E1828"/>
    <w:rsid w:val="000E4BF8"/>
    <w:rsid w:val="000F20A9"/>
    <w:rsid w:val="000F307B"/>
    <w:rsid w:val="000F30B9"/>
    <w:rsid w:val="000F6981"/>
    <w:rsid w:val="001030C4"/>
    <w:rsid w:val="001120A7"/>
    <w:rsid w:val="00112EA0"/>
    <w:rsid w:val="0011693F"/>
    <w:rsid w:val="0012005B"/>
    <w:rsid w:val="0012138D"/>
    <w:rsid w:val="00122388"/>
    <w:rsid w:val="00124C3D"/>
    <w:rsid w:val="00141A92"/>
    <w:rsid w:val="00144BEE"/>
    <w:rsid w:val="00145E84"/>
    <w:rsid w:val="0015102C"/>
    <w:rsid w:val="00176FBB"/>
    <w:rsid w:val="00181E97"/>
    <w:rsid w:val="00182A08"/>
    <w:rsid w:val="00186892"/>
    <w:rsid w:val="001A2EF2"/>
    <w:rsid w:val="001A7228"/>
    <w:rsid w:val="001B7D43"/>
    <w:rsid w:val="001C2D74"/>
    <w:rsid w:val="001C4265"/>
    <w:rsid w:val="001C7FAC"/>
    <w:rsid w:val="001D500F"/>
    <w:rsid w:val="001E0CAC"/>
    <w:rsid w:val="001E16A3"/>
    <w:rsid w:val="001E1DEA"/>
    <w:rsid w:val="001E4F0D"/>
    <w:rsid w:val="001E7199"/>
    <w:rsid w:val="001F24A0"/>
    <w:rsid w:val="001F67EC"/>
    <w:rsid w:val="0020330A"/>
    <w:rsid w:val="00214CA5"/>
    <w:rsid w:val="002254F8"/>
    <w:rsid w:val="00237279"/>
    <w:rsid w:val="00240D69"/>
    <w:rsid w:val="00240E54"/>
    <w:rsid w:val="00241B5E"/>
    <w:rsid w:val="002424BF"/>
    <w:rsid w:val="00246E59"/>
    <w:rsid w:val="00252087"/>
    <w:rsid w:val="00260A19"/>
    <w:rsid w:val="00276C00"/>
    <w:rsid w:val="00294667"/>
    <w:rsid w:val="00296FD3"/>
    <w:rsid w:val="002A3C02"/>
    <w:rsid w:val="002A5452"/>
    <w:rsid w:val="002B4889"/>
    <w:rsid w:val="002B50C0"/>
    <w:rsid w:val="002B6F21"/>
    <w:rsid w:val="002D19B2"/>
    <w:rsid w:val="002D3D4A"/>
    <w:rsid w:val="002D7ADA"/>
    <w:rsid w:val="002E0C3F"/>
    <w:rsid w:val="00300D4F"/>
    <w:rsid w:val="0030196F"/>
    <w:rsid w:val="00302775"/>
    <w:rsid w:val="00304D04"/>
    <w:rsid w:val="0031072A"/>
    <w:rsid w:val="00310D8E"/>
    <w:rsid w:val="00316238"/>
    <w:rsid w:val="00316613"/>
    <w:rsid w:val="003221F2"/>
    <w:rsid w:val="00322614"/>
    <w:rsid w:val="00327F6D"/>
    <w:rsid w:val="00331C36"/>
    <w:rsid w:val="00334A24"/>
    <w:rsid w:val="003410FE"/>
    <w:rsid w:val="00343F99"/>
    <w:rsid w:val="00345864"/>
    <w:rsid w:val="003508E7"/>
    <w:rsid w:val="003542F1"/>
    <w:rsid w:val="00356A3E"/>
    <w:rsid w:val="003642B8"/>
    <w:rsid w:val="00386117"/>
    <w:rsid w:val="003A4115"/>
    <w:rsid w:val="003B5B7A"/>
    <w:rsid w:val="003B633E"/>
    <w:rsid w:val="003C7325"/>
    <w:rsid w:val="003D7DD0"/>
    <w:rsid w:val="003E3144"/>
    <w:rsid w:val="00405EA4"/>
    <w:rsid w:val="0041034F"/>
    <w:rsid w:val="004118A3"/>
    <w:rsid w:val="0042057C"/>
    <w:rsid w:val="00423A26"/>
    <w:rsid w:val="00425046"/>
    <w:rsid w:val="004350B8"/>
    <w:rsid w:val="00440989"/>
    <w:rsid w:val="00444AAB"/>
    <w:rsid w:val="00444CE6"/>
    <w:rsid w:val="00450089"/>
    <w:rsid w:val="00476ABB"/>
    <w:rsid w:val="00485646"/>
    <w:rsid w:val="00487538"/>
    <w:rsid w:val="00494FE8"/>
    <w:rsid w:val="004964D7"/>
    <w:rsid w:val="004A4B58"/>
    <w:rsid w:val="004B7675"/>
    <w:rsid w:val="004C1D48"/>
    <w:rsid w:val="004D536C"/>
    <w:rsid w:val="004D65CA"/>
    <w:rsid w:val="004D76C7"/>
    <w:rsid w:val="004E6D91"/>
    <w:rsid w:val="004F6E89"/>
    <w:rsid w:val="004F73C8"/>
    <w:rsid w:val="005108D2"/>
    <w:rsid w:val="00512814"/>
    <w:rsid w:val="00517F12"/>
    <w:rsid w:val="0052102C"/>
    <w:rsid w:val="005237EB"/>
    <w:rsid w:val="005240C6"/>
    <w:rsid w:val="00524E6C"/>
    <w:rsid w:val="005332D6"/>
    <w:rsid w:val="00544DFE"/>
    <w:rsid w:val="00550C19"/>
    <w:rsid w:val="00561722"/>
    <w:rsid w:val="005734CE"/>
    <w:rsid w:val="00583F7E"/>
    <w:rsid w:val="00586664"/>
    <w:rsid w:val="00593290"/>
    <w:rsid w:val="005A0848"/>
    <w:rsid w:val="005A12F7"/>
    <w:rsid w:val="005A1B30"/>
    <w:rsid w:val="005B1A32"/>
    <w:rsid w:val="005B7E4D"/>
    <w:rsid w:val="005C0469"/>
    <w:rsid w:val="005C589B"/>
    <w:rsid w:val="005C6116"/>
    <w:rsid w:val="005C77BB"/>
    <w:rsid w:val="005D17CF"/>
    <w:rsid w:val="005D5AAB"/>
    <w:rsid w:val="005D6E12"/>
    <w:rsid w:val="005E0ED8"/>
    <w:rsid w:val="005E10CA"/>
    <w:rsid w:val="005E6ABD"/>
    <w:rsid w:val="005E7606"/>
    <w:rsid w:val="005E77FE"/>
    <w:rsid w:val="005F0AFD"/>
    <w:rsid w:val="005F3FF7"/>
    <w:rsid w:val="005F41FA"/>
    <w:rsid w:val="00600AE4"/>
    <w:rsid w:val="006054AA"/>
    <w:rsid w:val="0062054D"/>
    <w:rsid w:val="006334BF"/>
    <w:rsid w:val="00635A54"/>
    <w:rsid w:val="00661A62"/>
    <w:rsid w:val="006643BE"/>
    <w:rsid w:val="00667D2A"/>
    <w:rsid w:val="006731D9"/>
    <w:rsid w:val="00680820"/>
    <w:rsid w:val="006822BC"/>
    <w:rsid w:val="006902D4"/>
    <w:rsid w:val="006922C1"/>
    <w:rsid w:val="00694EA4"/>
    <w:rsid w:val="00697F9E"/>
    <w:rsid w:val="006A08E7"/>
    <w:rsid w:val="006A60AA"/>
    <w:rsid w:val="006B034F"/>
    <w:rsid w:val="006B5117"/>
    <w:rsid w:val="006C1EE0"/>
    <w:rsid w:val="006C606F"/>
    <w:rsid w:val="006E0CFA"/>
    <w:rsid w:val="006E6205"/>
    <w:rsid w:val="00700D80"/>
    <w:rsid w:val="00701800"/>
    <w:rsid w:val="00725708"/>
    <w:rsid w:val="0073499C"/>
    <w:rsid w:val="00740A47"/>
    <w:rsid w:val="00746ABD"/>
    <w:rsid w:val="007521D8"/>
    <w:rsid w:val="00766566"/>
    <w:rsid w:val="0077418F"/>
    <w:rsid w:val="00775C44"/>
    <w:rsid w:val="00787EE6"/>
    <w:rsid w:val="007924CE"/>
    <w:rsid w:val="007945E8"/>
    <w:rsid w:val="00795AFA"/>
    <w:rsid w:val="007A4742"/>
    <w:rsid w:val="007B0251"/>
    <w:rsid w:val="007B0E76"/>
    <w:rsid w:val="007C2624"/>
    <w:rsid w:val="007C2F7E"/>
    <w:rsid w:val="007C6235"/>
    <w:rsid w:val="007D1990"/>
    <w:rsid w:val="007D2C34"/>
    <w:rsid w:val="007D38BD"/>
    <w:rsid w:val="007D3F21"/>
    <w:rsid w:val="007E1E3A"/>
    <w:rsid w:val="007E341A"/>
    <w:rsid w:val="007F126F"/>
    <w:rsid w:val="007F7C6B"/>
    <w:rsid w:val="00806134"/>
    <w:rsid w:val="008070F5"/>
    <w:rsid w:val="00823CC8"/>
    <w:rsid w:val="00830B70"/>
    <w:rsid w:val="00840749"/>
    <w:rsid w:val="008447CE"/>
    <w:rsid w:val="008667C5"/>
    <w:rsid w:val="00871BAA"/>
    <w:rsid w:val="0087452F"/>
    <w:rsid w:val="00875528"/>
    <w:rsid w:val="00884686"/>
    <w:rsid w:val="008A1E13"/>
    <w:rsid w:val="008A332F"/>
    <w:rsid w:val="008A52F6"/>
    <w:rsid w:val="008A6291"/>
    <w:rsid w:val="008B3CBD"/>
    <w:rsid w:val="008B7B20"/>
    <w:rsid w:val="008C20A2"/>
    <w:rsid w:val="008C4BCD"/>
    <w:rsid w:val="008C6721"/>
    <w:rsid w:val="008D3826"/>
    <w:rsid w:val="008E4D24"/>
    <w:rsid w:val="008F0C2B"/>
    <w:rsid w:val="008F2D9B"/>
    <w:rsid w:val="00907F6D"/>
    <w:rsid w:val="00911190"/>
    <w:rsid w:val="0091332C"/>
    <w:rsid w:val="009256F2"/>
    <w:rsid w:val="00933BEC"/>
    <w:rsid w:val="00936729"/>
    <w:rsid w:val="0095183B"/>
    <w:rsid w:val="009519D0"/>
    <w:rsid w:val="00952126"/>
    <w:rsid w:val="00952617"/>
    <w:rsid w:val="009532F0"/>
    <w:rsid w:val="00960AE9"/>
    <w:rsid w:val="00964BBF"/>
    <w:rsid w:val="009663A6"/>
    <w:rsid w:val="00971A40"/>
    <w:rsid w:val="00976434"/>
    <w:rsid w:val="009817CD"/>
    <w:rsid w:val="009848B1"/>
    <w:rsid w:val="00984901"/>
    <w:rsid w:val="00985156"/>
    <w:rsid w:val="00992EA3"/>
    <w:rsid w:val="009967CA"/>
    <w:rsid w:val="009A17FF"/>
    <w:rsid w:val="009A51A9"/>
    <w:rsid w:val="009B29EE"/>
    <w:rsid w:val="009B4423"/>
    <w:rsid w:val="009B5A11"/>
    <w:rsid w:val="009C2DE7"/>
    <w:rsid w:val="009C6140"/>
    <w:rsid w:val="009D2FA4"/>
    <w:rsid w:val="009D7322"/>
    <w:rsid w:val="009D7D8A"/>
    <w:rsid w:val="009E4C67"/>
    <w:rsid w:val="009E747E"/>
    <w:rsid w:val="009F09BF"/>
    <w:rsid w:val="009F0F00"/>
    <w:rsid w:val="009F1DC8"/>
    <w:rsid w:val="009F437E"/>
    <w:rsid w:val="00A026AA"/>
    <w:rsid w:val="00A11788"/>
    <w:rsid w:val="00A227F6"/>
    <w:rsid w:val="00A2592C"/>
    <w:rsid w:val="00A30847"/>
    <w:rsid w:val="00A339D9"/>
    <w:rsid w:val="00A36AE2"/>
    <w:rsid w:val="00A41E3C"/>
    <w:rsid w:val="00A42C34"/>
    <w:rsid w:val="00A43E49"/>
    <w:rsid w:val="00A44EA2"/>
    <w:rsid w:val="00A53FE7"/>
    <w:rsid w:val="00A56D63"/>
    <w:rsid w:val="00A67685"/>
    <w:rsid w:val="00A6778C"/>
    <w:rsid w:val="00A728AE"/>
    <w:rsid w:val="00A72B27"/>
    <w:rsid w:val="00A804AE"/>
    <w:rsid w:val="00A822CA"/>
    <w:rsid w:val="00A86449"/>
    <w:rsid w:val="00A87C1C"/>
    <w:rsid w:val="00A9429F"/>
    <w:rsid w:val="00AA4CAB"/>
    <w:rsid w:val="00AA51AD"/>
    <w:rsid w:val="00AB2E01"/>
    <w:rsid w:val="00AC7E26"/>
    <w:rsid w:val="00AD45BB"/>
    <w:rsid w:val="00AE1643"/>
    <w:rsid w:val="00AE3A6C"/>
    <w:rsid w:val="00AE6D78"/>
    <w:rsid w:val="00AF09B8"/>
    <w:rsid w:val="00AF1E8A"/>
    <w:rsid w:val="00AF567D"/>
    <w:rsid w:val="00B02895"/>
    <w:rsid w:val="00B17709"/>
    <w:rsid w:val="00B33261"/>
    <w:rsid w:val="00B41415"/>
    <w:rsid w:val="00B440C3"/>
    <w:rsid w:val="00B50560"/>
    <w:rsid w:val="00B64B3C"/>
    <w:rsid w:val="00B673C6"/>
    <w:rsid w:val="00B74859"/>
    <w:rsid w:val="00B75E78"/>
    <w:rsid w:val="00B7613B"/>
    <w:rsid w:val="00B82FDA"/>
    <w:rsid w:val="00B87D3D"/>
    <w:rsid w:val="00BA3C39"/>
    <w:rsid w:val="00BA481C"/>
    <w:rsid w:val="00BB059E"/>
    <w:rsid w:val="00BB2420"/>
    <w:rsid w:val="00BB5ACE"/>
    <w:rsid w:val="00BC1BD2"/>
    <w:rsid w:val="00BC6BE4"/>
    <w:rsid w:val="00BE0111"/>
    <w:rsid w:val="00BE47CD"/>
    <w:rsid w:val="00BE5BF9"/>
    <w:rsid w:val="00C00310"/>
    <w:rsid w:val="00C1085B"/>
    <w:rsid w:val="00C1106C"/>
    <w:rsid w:val="00C11293"/>
    <w:rsid w:val="00C26361"/>
    <w:rsid w:val="00C302F1"/>
    <w:rsid w:val="00C42AEA"/>
    <w:rsid w:val="00C57985"/>
    <w:rsid w:val="00C6751B"/>
    <w:rsid w:val="00C84A83"/>
    <w:rsid w:val="00C978FB"/>
    <w:rsid w:val="00CA516B"/>
    <w:rsid w:val="00CB0FE3"/>
    <w:rsid w:val="00CC7E21"/>
    <w:rsid w:val="00CE26A7"/>
    <w:rsid w:val="00CE74F9"/>
    <w:rsid w:val="00CE7777"/>
    <w:rsid w:val="00CF2E64"/>
    <w:rsid w:val="00D07BD7"/>
    <w:rsid w:val="00D10CCA"/>
    <w:rsid w:val="00D1474E"/>
    <w:rsid w:val="00D1772B"/>
    <w:rsid w:val="00D17B2F"/>
    <w:rsid w:val="00D25256"/>
    <w:rsid w:val="00D25CFE"/>
    <w:rsid w:val="00D335E9"/>
    <w:rsid w:val="00D4607F"/>
    <w:rsid w:val="00D47B01"/>
    <w:rsid w:val="00D50D7D"/>
    <w:rsid w:val="00D57025"/>
    <w:rsid w:val="00D57765"/>
    <w:rsid w:val="00D64B79"/>
    <w:rsid w:val="00D66E07"/>
    <w:rsid w:val="00D77F50"/>
    <w:rsid w:val="00D859F4"/>
    <w:rsid w:val="00D85A52"/>
    <w:rsid w:val="00D86D51"/>
    <w:rsid w:val="00D86FEC"/>
    <w:rsid w:val="00D9766E"/>
    <w:rsid w:val="00DA34DF"/>
    <w:rsid w:val="00DA52CC"/>
    <w:rsid w:val="00DB69FD"/>
    <w:rsid w:val="00DC0A8A"/>
    <w:rsid w:val="00DC1705"/>
    <w:rsid w:val="00DC39A9"/>
    <w:rsid w:val="00DC4C79"/>
    <w:rsid w:val="00DD3113"/>
    <w:rsid w:val="00DD7474"/>
    <w:rsid w:val="00DE1B02"/>
    <w:rsid w:val="00DE6249"/>
    <w:rsid w:val="00DE731D"/>
    <w:rsid w:val="00DF4162"/>
    <w:rsid w:val="00E0076D"/>
    <w:rsid w:val="00E101FD"/>
    <w:rsid w:val="00E11B44"/>
    <w:rsid w:val="00E15DEB"/>
    <w:rsid w:val="00E1688D"/>
    <w:rsid w:val="00E203EB"/>
    <w:rsid w:val="00E21938"/>
    <w:rsid w:val="00E35401"/>
    <w:rsid w:val="00E375DB"/>
    <w:rsid w:val="00E41917"/>
    <w:rsid w:val="00E42938"/>
    <w:rsid w:val="00E47508"/>
    <w:rsid w:val="00E52786"/>
    <w:rsid w:val="00E55EB0"/>
    <w:rsid w:val="00E57BB7"/>
    <w:rsid w:val="00E61CB0"/>
    <w:rsid w:val="00E64978"/>
    <w:rsid w:val="00E663EC"/>
    <w:rsid w:val="00E71256"/>
    <w:rsid w:val="00E71766"/>
    <w:rsid w:val="00E71BCF"/>
    <w:rsid w:val="00E77AE4"/>
    <w:rsid w:val="00E81D7C"/>
    <w:rsid w:val="00E83FA4"/>
    <w:rsid w:val="00E86020"/>
    <w:rsid w:val="00EA0B4F"/>
    <w:rsid w:val="00EA654F"/>
    <w:rsid w:val="00EB2CC2"/>
    <w:rsid w:val="00EC0162"/>
    <w:rsid w:val="00EC2AFC"/>
    <w:rsid w:val="00ED304A"/>
    <w:rsid w:val="00EF12A0"/>
    <w:rsid w:val="00EF6E9A"/>
    <w:rsid w:val="00F07774"/>
    <w:rsid w:val="00F138F7"/>
    <w:rsid w:val="00F2008A"/>
    <w:rsid w:val="00F21CCC"/>
    <w:rsid w:val="00F21D9E"/>
    <w:rsid w:val="00F25348"/>
    <w:rsid w:val="00F25B81"/>
    <w:rsid w:val="00F31240"/>
    <w:rsid w:val="00F329E6"/>
    <w:rsid w:val="00F4451D"/>
    <w:rsid w:val="00F45506"/>
    <w:rsid w:val="00F60062"/>
    <w:rsid w:val="00F613CC"/>
    <w:rsid w:val="00F76777"/>
    <w:rsid w:val="00F83F2F"/>
    <w:rsid w:val="00F86555"/>
    <w:rsid w:val="00F93B43"/>
    <w:rsid w:val="00F959DF"/>
    <w:rsid w:val="00FA0295"/>
    <w:rsid w:val="00FC3B03"/>
    <w:rsid w:val="00FC4C1C"/>
    <w:rsid w:val="00FF03A2"/>
    <w:rsid w:val="00FF22C4"/>
    <w:rsid w:val="00FF2D3A"/>
    <w:rsid w:val="00FF6C85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50C1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CC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47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Rybka@mg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DD5B0-E5FE-4A38-A173-DA73CB285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2642</Words>
  <Characters>15858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2019-07-09T10:11:00Z</dcterms:created>
  <dcterms:modified xsi:type="dcterms:W3CDTF">2019-07-12T12:01:00Z</dcterms:modified>
</cp:coreProperties>
</file>